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096952">
      <w:pPr>
        <w:jc w:val="center"/>
        <w:rPr>
          <w:rFonts w:hint="default" w:ascii="Times New Roman" w:hAnsi="Times New Roman" w:eastAsia="宋体" w:cs="Times New Roman"/>
          <w:sz w:val="44"/>
          <w:szCs w:val="44"/>
        </w:rPr>
      </w:pPr>
    </w:p>
    <w:p w14:paraId="16D346A9">
      <w:pPr>
        <w:jc w:val="center"/>
        <w:rPr>
          <w:rFonts w:hint="default" w:ascii="Times New Roman" w:hAnsi="Times New Roman" w:eastAsia="宋体" w:cs="Times New Roman"/>
          <w:sz w:val="44"/>
          <w:szCs w:val="44"/>
        </w:rPr>
      </w:pPr>
    </w:p>
    <w:p w14:paraId="554229C1">
      <w:pPr>
        <w:jc w:val="center"/>
        <w:rPr>
          <w:rFonts w:hint="default" w:ascii="Times New Roman" w:hAnsi="Times New Roman" w:eastAsia="宋体" w:cs="Times New Roman"/>
          <w:sz w:val="44"/>
          <w:szCs w:val="44"/>
        </w:rPr>
      </w:pPr>
    </w:p>
    <w:p w14:paraId="116F3BE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方正小标宋简体" w:hAnsi="方正小标宋简体" w:eastAsia="方正小标宋简体" w:cs="方正小标宋简体"/>
          <w:sz w:val="48"/>
          <w:szCs w:val="48"/>
          <w:lang w:val="en-US" w:eastAsia="zh-CN"/>
        </w:rPr>
      </w:pPr>
      <w:r>
        <w:rPr>
          <w:rFonts w:hint="default" w:ascii="方正小标宋简体" w:hAnsi="方正小标宋简体" w:eastAsia="方正小标宋简体" w:cs="方正小标宋简体"/>
          <w:sz w:val="48"/>
          <w:szCs w:val="48"/>
          <w:lang w:val="en-US" w:eastAsia="zh-CN"/>
        </w:rPr>
        <w:t>202</w:t>
      </w:r>
      <w:r>
        <w:rPr>
          <w:rFonts w:hint="eastAsia" w:ascii="方正小标宋简体" w:hAnsi="方正小标宋简体" w:eastAsia="方正小标宋简体" w:cs="方正小标宋简体"/>
          <w:sz w:val="48"/>
          <w:szCs w:val="48"/>
          <w:lang w:val="en-US" w:eastAsia="zh-CN"/>
        </w:rPr>
        <w:t>4</w:t>
      </w:r>
      <w:r>
        <w:rPr>
          <w:rFonts w:hint="default" w:ascii="方正小标宋简体" w:hAnsi="方正小标宋简体" w:eastAsia="方正小标宋简体" w:cs="方正小标宋简体"/>
          <w:sz w:val="48"/>
          <w:szCs w:val="48"/>
          <w:lang w:val="en-US" w:eastAsia="zh-CN"/>
        </w:rPr>
        <w:t>年度温室气体排放报告</w:t>
      </w:r>
    </w:p>
    <w:p w14:paraId="2E49DA88">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bCs/>
          <w:sz w:val="44"/>
          <w:szCs w:val="44"/>
          <w:lang w:eastAsia="zh-CN"/>
        </w:rPr>
      </w:pPr>
      <w:r>
        <w:rPr>
          <w:rFonts w:hint="eastAsia" w:ascii="方正小标宋简体" w:hAnsi="方正小标宋简体" w:eastAsia="方正小标宋简体" w:cs="方正小标宋简体"/>
          <w:sz w:val="48"/>
          <w:szCs w:val="48"/>
          <w:lang w:val="en-US" w:eastAsia="zh-CN"/>
        </w:rPr>
        <w:t>铜陵有色金翔物资有限责任公司</w:t>
      </w:r>
    </w:p>
    <w:p w14:paraId="63CAA33C">
      <w:pPr>
        <w:jc w:val="center"/>
        <w:rPr>
          <w:rFonts w:hint="default" w:ascii="Times New Roman" w:hAnsi="Times New Roman" w:eastAsia="宋体" w:cs="Times New Roman"/>
          <w:sz w:val="44"/>
          <w:szCs w:val="44"/>
        </w:rPr>
      </w:pPr>
    </w:p>
    <w:p w14:paraId="2CA9DB9C">
      <w:pPr>
        <w:jc w:val="center"/>
        <w:rPr>
          <w:rFonts w:hint="default" w:ascii="Times New Roman" w:hAnsi="Times New Roman" w:eastAsia="宋体" w:cs="Times New Roman"/>
        </w:rPr>
      </w:pPr>
    </w:p>
    <w:p w14:paraId="2E9ED42B">
      <w:pPr>
        <w:jc w:val="center"/>
        <w:rPr>
          <w:rFonts w:hint="default" w:ascii="Times New Roman" w:hAnsi="Times New Roman" w:eastAsia="宋体" w:cs="Times New Roman"/>
        </w:rPr>
      </w:pPr>
    </w:p>
    <w:p w14:paraId="4670571C">
      <w:pPr>
        <w:jc w:val="center"/>
        <w:rPr>
          <w:rFonts w:hint="default" w:ascii="Times New Roman" w:hAnsi="Times New Roman" w:eastAsia="宋体" w:cs="Times New Roman"/>
        </w:rPr>
      </w:pPr>
    </w:p>
    <w:p w14:paraId="65D40885">
      <w:pPr>
        <w:jc w:val="center"/>
        <w:rPr>
          <w:rFonts w:hint="default" w:ascii="Times New Roman" w:hAnsi="Times New Roman" w:eastAsia="宋体" w:cs="Times New Roman"/>
        </w:rPr>
      </w:pPr>
    </w:p>
    <w:p w14:paraId="6D6B0347">
      <w:pPr>
        <w:jc w:val="center"/>
        <w:rPr>
          <w:rFonts w:hint="default" w:ascii="Times New Roman" w:hAnsi="Times New Roman" w:eastAsia="宋体" w:cs="Times New Roman"/>
        </w:rPr>
      </w:pPr>
    </w:p>
    <w:p w14:paraId="0F54B811">
      <w:pPr>
        <w:jc w:val="center"/>
        <w:rPr>
          <w:rFonts w:hint="default" w:ascii="Times New Roman" w:hAnsi="Times New Roman" w:eastAsia="宋体" w:cs="Times New Roman"/>
        </w:rPr>
      </w:pPr>
    </w:p>
    <w:p w14:paraId="2827BA7C">
      <w:pPr>
        <w:jc w:val="center"/>
        <w:rPr>
          <w:rFonts w:hint="default" w:ascii="Times New Roman" w:hAnsi="Times New Roman" w:eastAsia="宋体" w:cs="Times New Roman"/>
        </w:rPr>
      </w:pPr>
    </w:p>
    <w:p w14:paraId="569FBC57">
      <w:pPr>
        <w:jc w:val="center"/>
        <w:rPr>
          <w:rFonts w:hint="default" w:ascii="Times New Roman" w:hAnsi="Times New Roman" w:eastAsia="宋体" w:cs="Times New Roman"/>
        </w:rPr>
      </w:pPr>
    </w:p>
    <w:p w14:paraId="7FEDE8F8">
      <w:pPr>
        <w:jc w:val="center"/>
        <w:rPr>
          <w:rFonts w:hint="default" w:ascii="Times New Roman" w:hAnsi="Times New Roman" w:eastAsia="宋体" w:cs="Times New Roman"/>
        </w:rPr>
      </w:pPr>
    </w:p>
    <w:p w14:paraId="24E8D4FF">
      <w:pPr>
        <w:jc w:val="center"/>
        <w:rPr>
          <w:rFonts w:hint="default" w:ascii="Times New Roman" w:hAnsi="Times New Roman" w:eastAsia="宋体" w:cs="Times New Roman"/>
        </w:rPr>
      </w:pPr>
    </w:p>
    <w:p w14:paraId="5622B6A5">
      <w:pPr>
        <w:jc w:val="center"/>
        <w:rPr>
          <w:rFonts w:hint="default" w:ascii="Times New Roman" w:hAnsi="Times New Roman" w:eastAsia="宋体" w:cs="Times New Roman"/>
        </w:rPr>
      </w:pPr>
    </w:p>
    <w:p w14:paraId="333D53BB">
      <w:pPr>
        <w:keepNext w:val="0"/>
        <w:keepLines w:val="0"/>
        <w:pageBreakBefore w:val="0"/>
        <w:widowControl w:val="0"/>
        <w:kinsoku/>
        <w:wordWrap/>
        <w:overflowPunct/>
        <w:topLinePunct w:val="0"/>
        <w:autoSpaceDE/>
        <w:autoSpaceDN/>
        <w:bidi w:val="0"/>
        <w:adjustRightInd/>
        <w:snapToGrid/>
        <w:spacing w:line="360" w:lineRule="auto"/>
        <w:ind w:firstLine="1205" w:firstLineChars="400"/>
        <w:textAlignment w:val="auto"/>
        <w:rPr>
          <w:rFonts w:hint="eastAsia" w:asciiTheme="majorEastAsia" w:hAnsiTheme="majorEastAsia" w:eastAsiaTheme="majorEastAsia" w:cstheme="majorEastAsia"/>
          <w:b/>
          <w:bCs/>
          <w:sz w:val="30"/>
          <w:szCs w:val="30"/>
          <w:lang w:val="en-US" w:eastAsia="zh-CN"/>
        </w:rPr>
      </w:pPr>
      <w:r>
        <w:rPr>
          <w:rFonts w:hint="eastAsia" w:asciiTheme="majorEastAsia" w:hAnsiTheme="majorEastAsia" w:eastAsiaTheme="majorEastAsia" w:cstheme="majorEastAsia"/>
          <w:b/>
          <w:bCs/>
          <w:sz w:val="30"/>
          <w:szCs w:val="30"/>
          <w:lang w:val="en-US" w:eastAsia="zh-CN"/>
        </w:rPr>
        <w:t>报告主体（盖章）：铜陵有色金翔物资有限责任公司</w:t>
      </w:r>
    </w:p>
    <w:p w14:paraId="61A3BD11">
      <w:pPr>
        <w:keepNext w:val="0"/>
        <w:keepLines w:val="0"/>
        <w:pageBreakBefore w:val="0"/>
        <w:widowControl w:val="0"/>
        <w:kinsoku/>
        <w:wordWrap/>
        <w:overflowPunct/>
        <w:topLinePunct w:val="0"/>
        <w:autoSpaceDE/>
        <w:autoSpaceDN/>
        <w:bidi w:val="0"/>
        <w:adjustRightInd/>
        <w:snapToGrid/>
        <w:spacing w:line="360" w:lineRule="auto"/>
        <w:ind w:firstLine="1205" w:firstLineChars="400"/>
        <w:textAlignment w:val="auto"/>
        <w:rPr>
          <w:rFonts w:hint="eastAsia" w:asciiTheme="majorEastAsia" w:hAnsiTheme="majorEastAsia" w:eastAsiaTheme="majorEastAsia" w:cstheme="majorEastAsia"/>
          <w:b/>
          <w:bCs/>
          <w:sz w:val="30"/>
          <w:szCs w:val="30"/>
          <w:lang w:val="en-US" w:eastAsia="zh-CN"/>
        </w:rPr>
      </w:pPr>
      <w:r>
        <w:rPr>
          <w:rFonts w:hint="eastAsia" w:asciiTheme="majorEastAsia" w:hAnsiTheme="majorEastAsia" w:eastAsiaTheme="majorEastAsia" w:cstheme="majorEastAsia"/>
          <w:b/>
          <w:bCs/>
          <w:sz w:val="30"/>
          <w:szCs w:val="30"/>
          <w:lang w:val="en-US" w:eastAsia="zh-CN"/>
        </w:rPr>
        <w:t>报告年度：2024年度</w:t>
      </w:r>
    </w:p>
    <w:p w14:paraId="76123D0C">
      <w:pPr>
        <w:keepNext w:val="0"/>
        <w:keepLines w:val="0"/>
        <w:pageBreakBefore w:val="0"/>
        <w:widowControl w:val="0"/>
        <w:kinsoku/>
        <w:wordWrap/>
        <w:overflowPunct/>
        <w:topLinePunct w:val="0"/>
        <w:autoSpaceDE/>
        <w:autoSpaceDN/>
        <w:bidi w:val="0"/>
        <w:adjustRightInd/>
        <w:snapToGrid/>
        <w:spacing w:line="360" w:lineRule="auto"/>
        <w:ind w:firstLine="1205" w:firstLineChars="400"/>
        <w:textAlignment w:val="auto"/>
        <w:rPr>
          <w:rFonts w:hint="eastAsia" w:asciiTheme="majorEastAsia" w:hAnsiTheme="majorEastAsia" w:eastAsiaTheme="majorEastAsia" w:cstheme="majorEastAsia"/>
          <w:b/>
          <w:bCs/>
          <w:sz w:val="30"/>
          <w:szCs w:val="30"/>
          <w:lang w:val="en-US" w:eastAsia="zh-CN"/>
        </w:rPr>
      </w:pPr>
      <w:r>
        <w:rPr>
          <w:rFonts w:hint="eastAsia" w:asciiTheme="majorEastAsia" w:hAnsiTheme="majorEastAsia" w:eastAsiaTheme="majorEastAsia" w:cstheme="majorEastAsia"/>
          <w:b/>
          <w:bCs/>
          <w:sz w:val="30"/>
          <w:szCs w:val="30"/>
          <w:lang w:val="en-US" w:eastAsia="zh-CN"/>
        </w:rPr>
        <w:t>编制日期：2025年04月</w:t>
      </w:r>
    </w:p>
    <w:p w14:paraId="7D1A1FCB">
      <w:pPr>
        <w:jc w:val="left"/>
        <w:rPr>
          <w:rFonts w:hint="default" w:ascii="Times New Roman" w:hAnsi="Times New Roman" w:eastAsia="宋体" w:cs="Times New Roman"/>
          <w:b/>
          <w:bCs/>
          <w:sz w:val="24"/>
          <w:szCs w:val="24"/>
        </w:rPr>
      </w:pPr>
    </w:p>
    <w:p w14:paraId="102C6D90">
      <w:pPr>
        <w:jc w:val="left"/>
        <w:rPr>
          <w:rFonts w:hint="default" w:ascii="Times New Roman" w:hAnsi="Times New Roman" w:eastAsia="宋体" w:cs="Times New Roman"/>
          <w:b/>
          <w:bCs/>
          <w:sz w:val="24"/>
          <w:szCs w:val="24"/>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24463730">
      <w:pPr>
        <w:pStyle w:val="2"/>
        <w:bidi w:val="0"/>
        <w:jc w:val="center"/>
      </w:pPr>
      <w:r>
        <w:rPr>
          <w:rFonts w:hint="eastAsia" w:ascii="Times New Roman" w:hAnsi="Times New Roman" w:eastAsia="黑体" w:cs="Times New Roman"/>
          <w:b/>
          <w:bCs/>
          <w:kern w:val="44"/>
          <w:sz w:val="32"/>
          <w:szCs w:val="44"/>
          <w:lang w:val="en-US" w:eastAsia="zh-CN" w:bidi="ar-SA"/>
        </w:rPr>
        <w:t>目</w:t>
      </w:r>
      <w:r>
        <w:rPr>
          <w:rFonts w:hint="eastAsia" w:cs="Times New Roman"/>
          <w:b/>
          <w:bCs/>
          <w:kern w:val="44"/>
          <w:sz w:val="32"/>
          <w:szCs w:val="44"/>
          <w:lang w:val="en-US" w:eastAsia="zh-CN" w:bidi="ar-SA"/>
        </w:rPr>
        <w:t xml:space="preserve"> </w:t>
      </w:r>
      <w:r>
        <w:rPr>
          <w:rFonts w:hint="eastAsia" w:ascii="Times New Roman" w:hAnsi="Times New Roman" w:eastAsia="黑体" w:cs="Times New Roman"/>
          <w:b/>
          <w:bCs/>
          <w:kern w:val="44"/>
          <w:sz w:val="32"/>
          <w:szCs w:val="44"/>
          <w:lang w:val="en-US" w:eastAsia="zh-CN" w:bidi="ar-SA"/>
        </w:rPr>
        <w:t>录</w:t>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TOC \o "1-3" \h \z \u </w:instrText>
      </w:r>
      <w:r>
        <w:rPr>
          <w:rFonts w:hint="default" w:ascii="Times New Roman" w:hAnsi="Times New Roman" w:eastAsia="仿宋_GB2312" w:cs="Times New Roman"/>
          <w:sz w:val="32"/>
          <w:szCs w:val="32"/>
        </w:rPr>
        <w:fldChar w:fldCharType="separate"/>
      </w:r>
    </w:p>
    <w:sdt>
      <w:sdtPr>
        <w:rPr>
          <w:rFonts w:ascii="宋体" w:hAnsi="宋体" w:eastAsia="宋体" w:cs="Times New Roman"/>
          <w:kern w:val="2"/>
          <w:sz w:val="21"/>
          <w:szCs w:val="22"/>
          <w:lang w:val="en-US" w:eastAsia="zh-CN" w:bidi="ar-SA"/>
        </w:rPr>
        <w:id w:val="147466102"/>
        <w15:color w:val="DBDBDB"/>
        <w:docPartObj>
          <w:docPartGallery w:val="Table of Contents"/>
          <w:docPartUnique/>
        </w:docPartObj>
      </w:sdtPr>
      <w:sdtEndPr>
        <w:rPr>
          <w:rFonts w:hint="default" w:ascii="Times New Roman" w:hAnsi="Times New Roman" w:eastAsia="仿宋_GB2312" w:cs="Times New Roman"/>
          <w:kern w:val="2"/>
          <w:sz w:val="32"/>
          <w:szCs w:val="22"/>
          <w:lang w:val="en-US" w:eastAsia="zh-CN" w:bidi="ar-SA"/>
        </w:rPr>
      </w:sdtEndPr>
      <w:sdtContent>
        <w:p w14:paraId="444FAB24">
          <w:pPr>
            <w:pStyle w:val="8"/>
            <w:keepNext w:val="0"/>
            <w:keepLines w:val="0"/>
            <w:pageBreakBefore w:val="0"/>
            <w:widowControl w:val="0"/>
            <w:tabs>
              <w:tab w:val="right" w:leader="dot" w:pos="8306"/>
            </w:tabs>
            <w:kinsoku/>
            <w:wordWrap/>
            <w:overflowPunct/>
            <w:topLinePunct w:val="0"/>
            <w:autoSpaceDE/>
            <w:autoSpaceDN/>
            <w:bidi w:val="0"/>
            <w:adjustRightInd/>
            <w:snapToGrid w:val="0"/>
            <w:spacing w:line="560" w:lineRule="exact"/>
            <w:ind w:firstLine="420" w:firstLineChars="200"/>
            <w:textAlignment w:val="auto"/>
          </w:pPr>
          <w:r>
            <w:rPr>
              <w:rFonts w:hint="eastAsia" w:ascii="宋体" w:hAnsi="宋体" w:eastAsia="宋体" w:cs="Times New Roman"/>
              <w:kern w:val="2"/>
              <w:sz w:val="21"/>
              <w:szCs w:val="22"/>
              <w:lang w:val="en-US" w:eastAsia="zh-CN" w:bidi="ar-SA"/>
            </w:rPr>
            <w:t xml:space="preserve">  </w:t>
          </w:r>
          <w:r>
            <w:rPr>
              <w:rFonts w:hint="default"/>
            </w:rPr>
            <w:fldChar w:fldCharType="begin"/>
          </w:r>
          <w:r>
            <w:rPr>
              <w:rFonts w:hint="default"/>
            </w:rPr>
            <w:instrText xml:space="preserve">TOC \o "1-2" \h \u </w:instrText>
          </w:r>
          <w:r>
            <w:rPr>
              <w:rFonts w:hint="default"/>
            </w:rPr>
            <w:fldChar w:fldCharType="separate"/>
          </w:r>
          <w:r>
            <w:rPr>
              <w:rFonts w:hint="default"/>
            </w:rPr>
            <w:fldChar w:fldCharType="begin"/>
          </w:r>
          <w:r>
            <w:rPr>
              <w:rFonts w:hint="default"/>
            </w:rPr>
            <w:instrText xml:space="preserve"> HYPERLINK \l _Toc17646 </w:instrText>
          </w:r>
          <w:r>
            <w:rPr>
              <w:rFonts w:hint="default"/>
            </w:rPr>
            <w:fldChar w:fldCharType="separate"/>
          </w:r>
          <w:r>
            <w:rPr>
              <w:rFonts w:hint="default"/>
              <w:lang w:val="zh-CN"/>
            </w:rPr>
            <w:t>1  编制依据</w:t>
          </w:r>
          <w:r>
            <w:tab/>
          </w:r>
          <w:r>
            <w:fldChar w:fldCharType="begin"/>
          </w:r>
          <w:r>
            <w:instrText xml:space="preserve"> PAGEREF _Toc17646 \h </w:instrText>
          </w:r>
          <w:r>
            <w:fldChar w:fldCharType="separate"/>
          </w:r>
          <w:r>
            <w:t>1</w:t>
          </w:r>
          <w:r>
            <w:fldChar w:fldCharType="end"/>
          </w:r>
          <w:r>
            <w:rPr>
              <w:rFonts w:hint="default"/>
            </w:rPr>
            <w:fldChar w:fldCharType="end"/>
          </w:r>
        </w:p>
        <w:p w14:paraId="28455152">
          <w:pPr>
            <w:pStyle w:val="8"/>
            <w:tabs>
              <w:tab w:val="right" w:leader="dot" w:pos="8306"/>
            </w:tabs>
          </w:pPr>
          <w:r>
            <w:rPr>
              <w:rFonts w:hint="default"/>
            </w:rPr>
            <w:fldChar w:fldCharType="begin"/>
          </w:r>
          <w:r>
            <w:rPr>
              <w:rFonts w:hint="default"/>
            </w:rPr>
            <w:instrText xml:space="preserve"> HYPERLINK \l _Toc32190 </w:instrText>
          </w:r>
          <w:r>
            <w:rPr>
              <w:rFonts w:hint="default"/>
            </w:rPr>
            <w:fldChar w:fldCharType="separate"/>
          </w:r>
          <w:r>
            <w:rPr>
              <w:rFonts w:hint="default"/>
              <w:lang w:val="zh-CN"/>
            </w:rPr>
            <w:t>2  企业基本情况</w:t>
          </w:r>
          <w:r>
            <w:tab/>
          </w:r>
          <w:r>
            <w:fldChar w:fldCharType="begin"/>
          </w:r>
          <w:r>
            <w:instrText xml:space="preserve"> PAGEREF _Toc32190 \h </w:instrText>
          </w:r>
          <w:r>
            <w:fldChar w:fldCharType="separate"/>
          </w:r>
          <w:r>
            <w:t>2</w:t>
          </w:r>
          <w:r>
            <w:fldChar w:fldCharType="end"/>
          </w:r>
          <w:r>
            <w:rPr>
              <w:rFonts w:hint="default"/>
            </w:rPr>
            <w:fldChar w:fldCharType="end"/>
          </w:r>
        </w:p>
        <w:p w14:paraId="63CD941D">
          <w:pPr>
            <w:pStyle w:val="9"/>
            <w:tabs>
              <w:tab w:val="right" w:leader="dot" w:pos="8306"/>
            </w:tabs>
          </w:pPr>
          <w:r>
            <w:rPr>
              <w:rFonts w:hint="default"/>
            </w:rPr>
            <w:fldChar w:fldCharType="begin"/>
          </w:r>
          <w:r>
            <w:rPr>
              <w:rFonts w:hint="default"/>
            </w:rPr>
            <w:instrText xml:space="preserve"> HYPERLINK \l _Toc28548 </w:instrText>
          </w:r>
          <w:r>
            <w:rPr>
              <w:rFonts w:hint="default"/>
            </w:rPr>
            <w:fldChar w:fldCharType="separate"/>
          </w:r>
          <w:r>
            <w:rPr>
              <w:rFonts w:hint="default"/>
              <w:lang w:val="zh-CN"/>
            </w:rPr>
            <w:t>2.1  基本信息一览</w:t>
          </w:r>
          <w:r>
            <w:tab/>
          </w:r>
          <w:r>
            <w:fldChar w:fldCharType="begin"/>
          </w:r>
          <w:r>
            <w:instrText xml:space="preserve"> PAGEREF _Toc28548 \h </w:instrText>
          </w:r>
          <w:r>
            <w:fldChar w:fldCharType="separate"/>
          </w:r>
          <w:r>
            <w:t>2</w:t>
          </w:r>
          <w:r>
            <w:fldChar w:fldCharType="end"/>
          </w:r>
          <w:r>
            <w:rPr>
              <w:rFonts w:hint="default"/>
            </w:rPr>
            <w:fldChar w:fldCharType="end"/>
          </w:r>
        </w:p>
        <w:p w14:paraId="349ABACB">
          <w:pPr>
            <w:pStyle w:val="9"/>
            <w:tabs>
              <w:tab w:val="right" w:leader="dot" w:pos="8306"/>
            </w:tabs>
          </w:pPr>
          <w:r>
            <w:rPr>
              <w:rFonts w:hint="default"/>
            </w:rPr>
            <w:fldChar w:fldCharType="begin"/>
          </w:r>
          <w:r>
            <w:rPr>
              <w:rFonts w:hint="default"/>
            </w:rPr>
            <w:instrText xml:space="preserve"> HYPERLINK \l _Toc12927 </w:instrText>
          </w:r>
          <w:r>
            <w:rPr>
              <w:rFonts w:hint="default"/>
            </w:rPr>
            <w:fldChar w:fldCharType="separate"/>
          </w:r>
          <w:r>
            <w:rPr>
              <w:rFonts w:hint="default"/>
            </w:rPr>
            <w:t>2.2  组织机构描述</w:t>
          </w:r>
          <w:r>
            <w:tab/>
          </w:r>
          <w:r>
            <w:fldChar w:fldCharType="begin"/>
          </w:r>
          <w:r>
            <w:instrText xml:space="preserve"> PAGEREF _Toc12927 \h </w:instrText>
          </w:r>
          <w:r>
            <w:fldChar w:fldCharType="separate"/>
          </w:r>
          <w:r>
            <w:t>4</w:t>
          </w:r>
          <w:r>
            <w:fldChar w:fldCharType="end"/>
          </w:r>
          <w:r>
            <w:rPr>
              <w:rFonts w:hint="default"/>
            </w:rPr>
            <w:fldChar w:fldCharType="end"/>
          </w:r>
        </w:p>
        <w:p w14:paraId="60CE352B">
          <w:pPr>
            <w:pStyle w:val="9"/>
            <w:tabs>
              <w:tab w:val="right" w:leader="dot" w:pos="8306"/>
            </w:tabs>
          </w:pPr>
          <w:r>
            <w:rPr>
              <w:rFonts w:hint="default"/>
            </w:rPr>
            <w:fldChar w:fldCharType="begin"/>
          </w:r>
          <w:r>
            <w:rPr>
              <w:rFonts w:hint="default"/>
            </w:rPr>
            <w:instrText xml:space="preserve"> HYPERLINK \l _Toc6615 </w:instrText>
          </w:r>
          <w:r>
            <w:rPr>
              <w:rFonts w:hint="default"/>
            </w:rPr>
            <w:fldChar w:fldCharType="separate"/>
          </w:r>
          <w:r>
            <w:rPr>
              <w:rFonts w:hint="default"/>
            </w:rPr>
            <w:t>2.3  工艺流程简介</w:t>
          </w:r>
          <w:r>
            <w:tab/>
          </w:r>
          <w:r>
            <w:fldChar w:fldCharType="begin"/>
          </w:r>
          <w:r>
            <w:instrText xml:space="preserve"> PAGEREF _Toc6615 \h </w:instrText>
          </w:r>
          <w:r>
            <w:fldChar w:fldCharType="separate"/>
          </w:r>
          <w:r>
            <w:t>6</w:t>
          </w:r>
          <w:r>
            <w:fldChar w:fldCharType="end"/>
          </w:r>
          <w:r>
            <w:rPr>
              <w:rFonts w:hint="default"/>
            </w:rPr>
            <w:fldChar w:fldCharType="end"/>
          </w:r>
        </w:p>
        <w:p w14:paraId="3266E835">
          <w:pPr>
            <w:pStyle w:val="9"/>
            <w:tabs>
              <w:tab w:val="right" w:leader="dot" w:pos="8306"/>
            </w:tabs>
          </w:pPr>
          <w:r>
            <w:rPr>
              <w:rFonts w:hint="default"/>
            </w:rPr>
            <w:fldChar w:fldCharType="begin"/>
          </w:r>
          <w:r>
            <w:rPr>
              <w:rFonts w:hint="default"/>
            </w:rPr>
            <w:instrText xml:space="preserve"> HYPERLINK \l _Toc10080 </w:instrText>
          </w:r>
          <w:r>
            <w:rPr>
              <w:rFonts w:hint="default"/>
            </w:rPr>
            <w:fldChar w:fldCharType="separate"/>
          </w:r>
          <w:r>
            <w:rPr>
              <w:rFonts w:hint="default"/>
            </w:rPr>
            <w:t>2.4  核算单元划分及排放源识别</w:t>
          </w:r>
          <w:r>
            <w:tab/>
          </w:r>
          <w:r>
            <w:fldChar w:fldCharType="begin"/>
          </w:r>
          <w:r>
            <w:instrText xml:space="preserve"> PAGEREF _Toc10080 \h </w:instrText>
          </w:r>
          <w:r>
            <w:fldChar w:fldCharType="separate"/>
          </w:r>
          <w:r>
            <w:t>9</w:t>
          </w:r>
          <w:r>
            <w:fldChar w:fldCharType="end"/>
          </w:r>
          <w:r>
            <w:rPr>
              <w:rFonts w:hint="default"/>
            </w:rPr>
            <w:fldChar w:fldCharType="end"/>
          </w:r>
        </w:p>
        <w:p w14:paraId="01F3D45A">
          <w:pPr>
            <w:pStyle w:val="8"/>
            <w:tabs>
              <w:tab w:val="right" w:leader="dot" w:pos="8306"/>
            </w:tabs>
          </w:pPr>
          <w:r>
            <w:rPr>
              <w:rFonts w:hint="default"/>
            </w:rPr>
            <w:fldChar w:fldCharType="begin"/>
          </w:r>
          <w:r>
            <w:rPr>
              <w:rFonts w:hint="default"/>
            </w:rPr>
            <w:instrText xml:space="preserve"> HYPERLINK \l _Toc30403 </w:instrText>
          </w:r>
          <w:r>
            <w:rPr>
              <w:rFonts w:hint="default"/>
            </w:rPr>
            <w:fldChar w:fldCharType="separate"/>
          </w:r>
          <w:r>
            <w:rPr>
              <w:rFonts w:hint="default"/>
            </w:rPr>
            <w:t>3  温室气体排放</w:t>
          </w:r>
          <w:r>
            <w:rPr>
              <w:rFonts w:hint="eastAsia"/>
              <w:lang w:val="en-US" w:eastAsia="zh-CN"/>
            </w:rPr>
            <w:t>情况</w:t>
          </w:r>
          <w:r>
            <w:tab/>
          </w:r>
          <w:r>
            <w:fldChar w:fldCharType="begin"/>
          </w:r>
          <w:r>
            <w:instrText xml:space="preserve"> PAGEREF _Toc30403 \h </w:instrText>
          </w:r>
          <w:r>
            <w:fldChar w:fldCharType="separate"/>
          </w:r>
          <w:r>
            <w:t>12</w:t>
          </w:r>
          <w:r>
            <w:fldChar w:fldCharType="end"/>
          </w:r>
          <w:r>
            <w:rPr>
              <w:rFonts w:hint="default"/>
            </w:rPr>
            <w:fldChar w:fldCharType="end"/>
          </w:r>
        </w:p>
        <w:p w14:paraId="07283604">
          <w:pPr>
            <w:pStyle w:val="9"/>
            <w:tabs>
              <w:tab w:val="right" w:leader="dot" w:pos="8306"/>
            </w:tabs>
          </w:pPr>
          <w:r>
            <w:rPr>
              <w:rFonts w:hint="default"/>
            </w:rPr>
            <w:fldChar w:fldCharType="begin"/>
          </w:r>
          <w:r>
            <w:rPr>
              <w:rFonts w:hint="default"/>
            </w:rPr>
            <w:instrText xml:space="preserve"> HYPERLINK \l _Toc6292 </w:instrText>
          </w:r>
          <w:r>
            <w:rPr>
              <w:rFonts w:hint="default"/>
            </w:rPr>
            <w:fldChar w:fldCharType="separate"/>
          </w:r>
          <w:r>
            <w:rPr>
              <w:rFonts w:hint="default"/>
            </w:rPr>
            <w:t>3.1 各排放源分项计算</w:t>
          </w:r>
          <w:r>
            <w:tab/>
          </w:r>
          <w:r>
            <w:fldChar w:fldCharType="begin"/>
          </w:r>
          <w:r>
            <w:instrText xml:space="preserve"> PAGEREF _Toc6292 \h </w:instrText>
          </w:r>
          <w:r>
            <w:fldChar w:fldCharType="separate"/>
          </w:r>
          <w:r>
            <w:t>12</w:t>
          </w:r>
          <w:r>
            <w:fldChar w:fldCharType="end"/>
          </w:r>
          <w:r>
            <w:rPr>
              <w:rFonts w:hint="default"/>
            </w:rPr>
            <w:fldChar w:fldCharType="end"/>
          </w:r>
        </w:p>
        <w:p w14:paraId="4F6832A5">
          <w:pPr>
            <w:pStyle w:val="9"/>
            <w:tabs>
              <w:tab w:val="right" w:leader="dot" w:pos="8306"/>
            </w:tabs>
          </w:pPr>
          <w:r>
            <w:rPr>
              <w:rFonts w:hint="default"/>
            </w:rPr>
            <w:fldChar w:fldCharType="begin"/>
          </w:r>
          <w:r>
            <w:rPr>
              <w:rFonts w:hint="default"/>
            </w:rPr>
            <w:instrText xml:space="preserve"> HYPERLINK \l _Toc23398 </w:instrText>
          </w:r>
          <w:r>
            <w:rPr>
              <w:rFonts w:hint="default"/>
            </w:rPr>
            <w:fldChar w:fldCharType="separate"/>
          </w:r>
          <w:r>
            <w:rPr>
              <w:rFonts w:hint="default"/>
            </w:rPr>
            <w:t>3.2汇总表</w:t>
          </w:r>
          <w:r>
            <w:tab/>
          </w:r>
          <w:r>
            <w:fldChar w:fldCharType="begin"/>
          </w:r>
          <w:r>
            <w:instrText xml:space="preserve"> PAGEREF _Toc23398 \h </w:instrText>
          </w:r>
          <w:r>
            <w:fldChar w:fldCharType="separate"/>
          </w:r>
          <w:r>
            <w:t>14</w:t>
          </w:r>
          <w:r>
            <w:fldChar w:fldCharType="end"/>
          </w:r>
          <w:r>
            <w:rPr>
              <w:rFonts w:hint="default"/>
            </w:rPr>
            <w:fldChar w:fldCharType="end"/>
          </w:r>
        </w:p>
        <w:p w14:paraId="6149D34A">
          <w:pPr>
            <w:pStyle w:val="8"/>
            <w:tabs>
              <w:tab w:val="right" w:leader="dot" w:pos="8306"/>
            </w:tabs>
          </w:pPr>
          <w:r>
            <w:rPr>
              <w:rFonts w:hint="default"/>
            </w:rPr>
            <w:fldChar w:fldCharType="begin"/>
          </w:r>
          <w:r>
            <w:rPr>
              <w:rFonts w:hint="default"/>
            </w:rPr>
            <w:instrText xml:space="preserve"> HYPERLINK \l _Toc20876 </w:instrText>
          </w:r>
          <w:r>
            <w:rPr>
              <w:rFonts w:hint="default"/>
            </w:rPr>
            <w:fldChar w:fldCharType="separate"/>
          </w:r>
          <w:r>
            <w:rPr>
              <w:rFonts w:hint="default"/>
            </w:rPr>
            <w:t>4  活动数据及来源说明</w:t>
          </w:r>
          <w:r>
            <w:tab/>
          </w:r>
          <w:r>
            <w:fldChar w:fldCharType="begin"/>
          </w:r>
          <w:r>
            <w:instrText xml:space="preserve"> PAGEREF _Toc20876 \h </w:instrText>
          </w:r>
          <w:r>
            <w:fldChar w:fldCharType="separate"/>
          </w:r>
          <w:r>
            <w:t>15</w:t>
          </w:r>
          <w:r>
            <w:fldChar w:fldCharType="end"/>
          </w:r>
          <w:r>
            <w:rPr>
              <w:rFonts w:hint="default"/>
            </w:rPr>
            <w:fldChar w:fldCharType="end"/>
          </w:r>
        </w:p>
        <w:p w14:paraId="17D4BCF7">
          <w:pPr>
            <w:pStyle w:val="9"/>
            <w:tabs>
              <w:tab w:val="right" w:leader="dot" w:pos="8306"/>
            </w:tabs>
          </w:pPr>
          <w:r>
            <w:rPr>
              <w:rFonts w:hint="default"/>
            </w:rPr>
            <w:fldChar w:fldCharType="begin"/>
          </w:r>
          <w:r>
            <w:rPr>
              <w:rFonts w:hint="default"/>
            </w:rPr>
            <w:instrText xml:space="preserve"> HYPERLINK \l _Toc19707 </w:instrText>
          </w:r>
          <w:r>
            <w:rPr>
              <w:rFonts w:hint="default"/>
            </w:rPr>
            <w:fldChar w:fldCharType="separate"/>
          </w:r>
          <w:r>
            <w:rPr>
              <w:rFonts w:hint="default"/>
            </w:rPr>
            <w:t>4.1 化石燃料活动水平数据及来源</w:t>
          </w:r>
          <w:r>
            <w:tab/>
          </w:r>
          <w:r>
            <w:fldChar w:fldCharType="begin"/>
          </w:r>
          <w:r>
            <w:instrText xml:space="preserve"> PAGEREF _Toc19707 \h </w:instrText>
          </w:r>
          <w:r>
            <w:fldChar w:fldCharType="separate"/>
          </w:r>
          <w:r>
            <w:t>15</w:t>
          </w:r>
          <w:r>
            <w:fldChar w:fldCharType="end"/>
          </w:r>
          <w:r>
            <w:rPr>
              <w:rFonts w:hint="default"/>
            </w:rPr>
            <w:fldChar w:fldCharType="end"/>
          </w:r>
        </w:p>
        <w:p w14:paraId="28A82720">
          <w:pPr>
            <w:pStyle w:val="9"/>
            <w:tabs>
              <w:tab w:val="right" w:leader="dot" w:pos="8306"/>
            </w:tabs>
          </w:pPr>
          <w:r>
            <w:rPr>
              <w:rFonts w:hint="default"/>
            </w:rPr>
            <w:fldChar w:fldCharType="begin"/>
          </w:r>
          <w:r>
            <w:rPr>
              <w:rFonts w:hint="default"/>
            </w:rPr>
            <w:instrText xml:space="preserve"> HYPERLINK \l _Toc13309 </w:instrText>
          </w:r>
          <w:r>
            <w:rPr>
              <w:rFonts w:hint="default"/>
            </w:rPr>
            <w:fldChar w:fldCharType="separate"/>
          </w:r>
          <w:r>
            <w:rPr>
              <w:rFonts w:hint="default"/>
            </w:rPr>
            <w:t>4.</w:t>
          </w:r>
          <w:r>
            <w:rPr>
              <w:rFonts w:hint="default"/>
              <w:lang w:val="en-US" w:eastAsia="zh-CN"/>
            </w:rPr>
            <w:t>2</w:t>
          </w:r>
          <w:r>
            <w:rPr>
              <w:rFonts w:hint="default"/>
            </w:rPr>
            <w:t xml:space="preserve"> 净购入电力活动水平数据及来源</w:t>
          </w:r>
          <w:r>
            <w:tab/>
          </w:r>
          <w:r>
            <w:fldChar w:fldCharType="begin"/>
          </w:r>
          <w:r>
            <w:instrText xml:space="preserve"> PAGEREF _Toc13309 \h </w:instrText>
          </w:r>
          <w:r>
            <w:fldChar w:fldCharType="separate"/>
          </w:r>
          <w:r>
            <w:t>15</w:t>
          </w:r>
          <w:r>
            <w:fldChar w:fldCharType="end"/>
          </w:r>
          <w:r>
            <w:rPr>
              <w:rFonts w:hint="default"/>
            </w:rPr>
            <w:fldChar w:fldCharType="end"/>
          </w:r>
        </w:p>
        <w:p w14:paraId="614A8B07">
          <w:pPr>
            <w:pStyle w:val="8"/>
            <w:tabs>
              <w:tab w:val="right" w:leader="dot" w:pos="8306"/>
            </w:tabs>
          </w:pPr>
          <w:r>
            <w:rPr>
              <w:rFonts w:hint="default"/>
            </w:rPr>
            <w:fldChar w:fldCharType="begin"/>
          </w:r>
          <w:r>
            <w:rPr>
              <w:rFonts w:hint="default"/>
            </w:rPr>
            <w:instrText xml:space="preserve"> HYPERLINK \l _Toc23093 </w:instrText>
          </w:r>
          <w:r>
            <w:rPr>
              <w:rFonts w:hint="default"/>
            </w:rPr>
            <w:fldChar w:fldCharType="separate"/>
          </w:r>
          <w:r>
            <w:rPr>
              <w:rFonts w:hint="default"/>
            </w:rPr>
            <w:t>5  排放因子数据及来源说明</w:t>
          </w:r>
          <w:r>
            <w:tab/>
          </w:r>
          <w:r>
            <w:fldChar w:fldCharType="begin"/>
          </w:r>
          <w:r>
            <w:instrText xml:space="preserve"> PAGEREF _Toc23093 \h </w:instrText>
          </w:r>
          <w:r>
            <w:fldChar w:fldCharType="separate"/>
          </w:r>
          <w:r>
            <w:t>17</w:t>
          </w:r>
          <w:r>
            <w:fldChar w:fldCharType="end"/>
          </w:r>
          <w:r>
            <w:rPr>
              <w:rFonts w:hint="default"/>
            </w:rPr>
            <w:fldChar w:fldCharType="end"/>
          </w:r>
        </w:p>
        <w:p w14:paraId="3612CB54">
          <w:pPr>
            <w:pStyle w:val="9"/>
            <w:tabs>
              <w:tab w:val="right" w:leader="dot" w:pos="8306"/>
            </w:tabs>
          </w:pPr>
          <w:r>
            <w:rPr>
              <w:rFonts w:hint="default"/>
            </w:rPr>
            <w:fldChar w:fldCharType="begin"/>
          </w:r>
          <w:r>
            <w:rPr>
              <w:rFonts w:hint="default"/>
            </w:rPr>
            <w:instrText xml:space="preserve"> HYPERLINK \l _Toc24638 </w:instrText>
          </w:r>
          <w:r>
            <w:rPr>
              <w:rFonts w:hint="default"/>
            </w:rPr>
            <w:fldChar w:fldCharType="separate"/>
          </w:r>
          <w:r>
            <w:rPr>
              <w:rFonts w:hint="default"/>
            </w:rPr>
            <w:t>5.1 化石燃料排放因子数据及来源</w:t>
          </w:r>
          <w:r>
            <w:tab/>
          </w:r>
          <w:r>
            <w:fldChar w:fldCharType="begin"/>
          </w:r>
          <w:r>
            <w:instrText xml:space="preserve"> PAGEREF _Toc24638 \h </w:instrText>
          </w:r>
          <w:r>
            <w:fldChar w:fldCharType="separate"/>
          </w:r>
          <w:r>
            <w:t>17</w:t>
          </w:r>
          <w:r>
            <w:fldChar w:fldCharType="end"/>
          </w:r>
          <w:r>
            <w:rPr>
              <w:rFonts w:hint="default"/>
            </w:rPr>
            <w:fldChar w:fldCharType="end"/>
          </w:r>
        </w:p>
        <w:p w14:paraId="4F260042">
          <w:pPr>
            <w:pStyle w:val="9"/>
            <w:tabs>
              <w:tab w:val="right" w:leader="dot" w:pos="8306"/>
            </w:tabs>
          </w:pPr>
          <w:r>
            <w:rPr>
              <w:rFonts w:hint="default"/>
            </w:rPr>
            <w:fldChar w:fldCharType="begin"/>
          </w:r>
          <w:r>
            <w:rPr>
              <w:rFonts w:hint="default"/>
            </w:rPr>
            <w:instrText xml:space="preserve"> HYPERLINK \l _Toc1217 </w:instrText>
          </w:r>
          <w:r>
            <w:rPr>
              <w:rFonts w:hint="default"/>
            </w:rPr>
            <w:fldChar w:fldCharType="separate"/>
          </w:r>
          <w:r>
            <w:rPr>
              <w:rFonts w:hint="default"/>
            </w:rPr>
            <w:t>5.2 净购入电力排放因子数据及来源</w:t>
          </w:r>
          <w:r>
            <w:tab/>
          </w:r>
          <w:r>
            <w:fldChar w:fldCharType="begin"/>
          </w:r>
          <w:r>
            <w:instrText xml:space="preserve"> PAGEREF _Toc1217 \h </w:instrText>
          </w:r>
          <w:r>
            <w:fldChar w:fldCharType="separate"/>
          </w:r>
          <w:r>
            <w:t>17</w:t>
          </w:r>
          <w:r>
            <w:fldChar w:fldCharType="end"/>
          </w:r>
          <w:r>
            <w:rPr>
              <w:rFonts w:hint="default"/>
            </w:rPr>
            <w:fldChar w:fldCharType="end"/>
          </w:r>
        </w:p>
        <w:p w14:paraId="23F9DD4E">
          <w:pPr>
            <w:rPr>
              <w:rFonts w:hint="default" w:ascii="Times New Roman" w:hAnsi="Times New Roman" w:eastAsia="仿宋_GB2312" w:cs="Times New Roman"/>
              <w:kern w:val="2"/>
              <w:sz w:val="32"/>
              <w:szCs w:val="22"/>
              <w:lang w:val="en-US" w:eastAsia="zh-CN" w:bidi="ar-SA"/>
            </w:rPr>
          </w:pPr>
          <w:r>
            <w:rPr>
              <w:rFonts w:hint="default"/>
            </w:rPr>
            <w:fldChar w:fldCharType="end"/>
          </w:r>
        </w:p>
      </w:sdtContent>
    </w:sdt>
    <w:p w14:paraId="094EA669">
      <w:pPr>
        <w:rPr>
          <w:rFonts w:hint="default" w:ascii="Times New Roman" w:hAnsi="Times New Roman" w:eastAsia="仿宋_GB2312" w:cs="Times New Roman"/>
          <w:kern w:val="2"/>
          <w:sz w:val="32"/>
          <w:szCs w:val="22"/>
          <w:lang w:val="en-US" w:eastAsia="zh-CN" w:bidi="ar-SA"/>
        </w:rPr>
      </w:pPr>
    </w:p>
    <w:p w14:paraId="4A2485CC">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default" w:ascii="Times New Roman" w:hAnsi="Times New Roman" w:eastAsia="宋体" w:cs="Times New Roman"/>
          <w:sz w:val="24"/>
          <w:szCs w:val="24"/>
        </w:rPr>
      </w:pPr>
      <w:r>
        <w:rPr>
          <w:rFonts w:hint="default" w:ascii="Times New Roman" w:hAnsi="Times New Roman" w:eastAsia="仿宋_GB2312" w:cs="Times New Roman"/>
          <w:bCs/>
          <w:sz w:val="32"/>
          <w:szCs w:val="32"/>
          <w:lang w:val="zh-CN"/>
        </w:rPr>
        <w:fldChar w:fldCharType="end"/>
      </w:r>
    </w:p>
    <w:p w14:paraId="5A12EF25">
      <w:pPr>
        <w:spacing w:line="360" w:lineRule="auto"/>
        <w:ind w:firstLine="480" w:firstLineChars="200"/>
        <w:jc w:val="left"/>
        <w:rPr>
          <w:rFonts w:hint="default" w:ascii="Times New Roman" w:hAnsi="Times New Roman" w:eastAsia="宋体" w:cs="Times New Roman"/>
          <w:sz w:val="24"/>
          <w:szCs w:val="24"/>
        </w:rPr>
        <w:sectPr>
          <w:headerReference r:id="rId6"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39CD6D47">
      <w:pPr>
        <w:pStyle w:val="2"/>
        <w:bidi w:val="0"/>
        <w:rPr>
          <w:rFonts w:hint="default"/>
          <w:lang w:val="zh-CN"/>
        </w:rPr>
      </w:pPr>
      <w:bookmarkStart w:id="0" w:name="_Toc17646"/>
      <w:bookmarkStart w:id="1" w:name="_Toc20206"/>
      <w:r>
        <w:rPr>
          <w:rFonts w:hint="default"/>
          <w:lang w:val="zh-CN"/>
        </w:rPr>
        <w:t>1  编制依据</w:t>
      </w:r>
      <w:bookmarkEnd w:id="0"/>
      <w:bookmarkEnd w:id="1"/>
    </w:p>
    <w:p w14:paraId="6FD8A23A">
      <w:pPr>
        <w:spacing w:line="360" w:lineRule="auto"/>
        <w:ind w:firstLine="641"/>
        <w:rPr>
          <w:rFonts w:hint="default" w:ascii="Times New Roman" w:hAnsi="Times New Roman" w:eastAsia="仿宋_GB2312" w:cs="Times New Roman"/>
          <w:sz w:val="32"/>
          <w:szCs w:val="24"/>
          <w:lang w:eastAsia="zh-CN"/>
        </w:rPr>
      </w:pPr>
      <w:r>
        <w:rPr>
          <w:rFonts w:hint="default" w:ascii="Times New Roman" w:hAnsi="Times New Roman" w:eastAsia="仿宋_GB2312" w:cs="Times New Roman"/>
          <w:sz w:val="32"/>
          <w:szCs w:val="24"/>
        </w:rPr>
        <w:t>根据</w:t>
      </w:r>
      <w:r>
        <w:rPr>
          <w:rFonts w:hint="eastAsia" w:ascii="Times New Roman" w:hAnsi="Times New Roman" w:eastAsia="仿宋_GB2312" w:cs="Times New Roman"/>
          <w:sz w:val="32"/>
          <w:szCs w:val="24"/>
        </w:rPr>
        <w:t>生态环境部办公厅</w:t>
      </w:r>
      <w:r>
        <w:rPr>
          <w:rFonts w:hint="default" w:ascii="Times New Roman" w:hAnsi="Times New Roman" w:eastAsia="仿宋_GB2312" w:cs="Times New Roman"/>
          <w:sz w:val="32"/>
          <w:szCs w:val="24"/>
        </w:rPr>
        <w:t>《温室气体自愿减排交易管理办法（试行）》</w:t>
      </w:r>
      <w:r>
        <w:rPr>
          <w:rFonts w:hint="eastAsia" w:ascii="Times New Roman" w:hAnsi="Times New Roman" w:eastAsia="仿宋_GB2312" w:cs="Times New Roman"/>
          <w:sz w:val="32"/>
          <w:szCs w:val="24"/>
          <w:lang w:eastAsia="zh-CN"/>
        </w:rPr>
        <w:t>、</w:t>
      </w:r>
      <w:r>
        <w:rPr>
          <w:rFonts w:hint="eastAsia" w:ascii="Times New Roman" w:hAnsi="Times New Roman" w:eastAsia="仿宋_GB2312" w:cs="Times New Roman"/>
          <w:sz w:val="32"/>
          <w:szCs w:val="24"/>
        </w:rPr>
        <w:t>《碳排放权交易管理暂行条例》和《关于做好2025年全国碳排放权交易市场有关工作的通知》（环办气候函〔2025〕140号）</w:t>
      </w:r>
      <w:r>
        <w:rPr>
          <w:rFonts w:hint="default" w:ascii="Times New Roman" w:hAnsi="Times New Roman" w:eastAsia="仿宋_GB2312" w:cs="Times New Roman"/>
          <w:sz w:val="32"/>
          <w:szCs w:val="24"/>
        </w:rPr>
        <w:t>等文件，遵照《工业企业温室气体排放核算和报告通则》（GB/T 32150-2015）、《工业其他行业企业温室气体排放核算方法与报告指南（试行）》（发改办气候〔2015〕1722号），</w:t>
      </w:r>
      <w:r>
        <w:rPr>
          <w:rFonts w:hint="eastAsia" w:cs="Times New Roman"/>
          <w:sz w:val="32"/>
          <w:szCs w:val="24"/>
          <w:lang w:eastAsia="zh-CN"/>
        </w:rPr>
        <w:t>铜陵有色金翔物资有限责任公司</w:t>
      </w:r>
      <w:r>
        <w:rPr>
          <w:rFonts w:hint="default" w:ascii="Times New Roman" w:hAnsi="Times New Roman" w:eastAsia="仿宋_GB2312" w:cs="Times New Roman"/>
          <w:sz w:val="32"/>
          <w:szCs w:val="24"/>
        </w:rPr>
        <w:t>核算了202</w:t>
      </w:r>
      <w:r>
        <w:rPr>
          <w:rFonts w:hint="eastAsia" w:ascii="Times New Roman" w:hAnsi="Times New Roman" w:eastAsia="仿宋_GB2312" w:cs="Times New Roman"/>
          <w:sz w:val="32"/>
          <w:szCs w:val="24"/>
          <w:lang w:val="en-US" w:eastAsia="zh-CN"/>
        </w:rPr>
        <w:t>4</w:t>
      </w:r>
      <w:r>
        <w:rPr>
          <w:rFonts w:hint="default" w:ascii="Times New Roman" w:hAnsi="Times New Roman" w:eastAsia="仿宋_GB2312" w:cs="Times New Roman"/>
          <w:sz w:val="32"/>
          <w:szCs w:val="24"/>
        </w:rPr>
        <w:t>年度温室气体排放量</w:t>
      </w:r>
      <w:r>
        <w:rPr>
          <w:rFonts w:hint="default" w:ascii="Times New Roman" w:hAnsi="Times New Roman" w:eastAsia="仿宋_GB2312" w:cs="Times New Roman"/>
          <w:sz w:val="32"/>
          <w:szCs w:val="24"/>
          <w:lang w:eastAsia="zh-CN"/>
        </w:rPr>
        <w:t>。</w:t>
      </w:r>
    </w:p>
    <w:p w14:paraId="7BCD9792">
      <w:pPr>
        <w:spacing w:line="360" w:lineRule="auto"/>
        <w:ind w:firstLine="641"/>
        <w:rPr>
          <w:rFonts w:hint="default" w:ascii="Times New Roman" w:hAnsi="Times New Roman" w:eastAsia="宋体" w:cs="Times New Roman"/>
          <w:sz w:val="24"/>
          <w:szCs w:val="24"/>
        </w:rPr>
      </w:pPr>
    </w:p>
    <w:p w14:paraId="7D25D1D5">
      <w:pPr>
        <w:spacing w:line="360" w:lineRule="auto"/>
        <w:ind w:firstLine="641"/>
        <w:rPr>
          <w:rFonts w:hint="default" w:ascii="Times New Roman" w:hAnsi="Times New Roman" w:eastAsia="宋体" w:cs="Times New Roman"/>
          <w:sz w:val="24"/>
          <w:szCs w:val="24"/>
        </w:rPr>
        <w:sectPr>
          <w:headerReference r:id="rId7" w:type="default"/>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720" w:num="1"/>
          <w:docGrid w:type="lines" w:linePitch="312" w:charSpace="0"/>
        </w:sectPr>
      </w:pPr>
    </w:p>
    <w:p w14:paraId="3D72B084">
      <w:pPr>
        <w:pStyle w:val="2"/>
        <w:bidi w:val="0"/>
        <w:rPr>
          <w:rFonts w:hint="default"/>
          <w:lang w:val="zh-CN"/>
        </w:rPr>
      </w:pPr>
      <w:bookmarkStart w:id="2" w:name="_Toc707"/>
      <w:bookmarkStart w:id="3" w:name="_Toc32190"/>
      <w:r>
        <w:rPr>
          <w:rFonts w:hint="default"/>
          <w:lang w:val="zh-CN"/>
        </w:rPr>
        <w:t>2  企业基本情况</w:t>
      </w:r>
      <w:bookmarkEnd w:id="2"/>
      <w:bookmarkEnd w:id="3"/>
    </w:p>
    <w:p w14:paraId="25BDD858">
      <w:pPr>
        <w:pStyle w:val="3"/>
        <w:bidi w:val="0"/>
        <w:rPr>
          <w:rFonts w:hint="default"/>
          <w:lang w:val="zh-CN"/>
        </w:rPr>
      </w:pPr>
      <w:bookmarkStart w:id="4" w:name="_Toc28548"/>
      <w:bookmarkStart w:id="5" w:name="_Toc23950"/>
      <w:r>
        <w:rPr>
          <w:rFonts w:hint="default"/>
          <w:lang w:val="zh-CN"/>
        </w:rPr>
        <w:t>2.1  基本信息一览</w:t>
      </w:r>
      <w:bookmarkEnd w:id="4"/>
      <w:bookmarkEnd w:id="5"/>
    </w:p>
    <w:p w14:paraId="03C63FFE">
      <w:pPr>
        <w:spacing w:line="360" w:lineRule="auto"/>
        <w:ind w:firstLine="641"/>
        <w:rPr>
          <w:rFonts w:hint="default" w:ascii="Times New Roman" w:hAnsi="Times New Roman" w:eastAsia="仿宋_GB2312" w:cs="Times New Roman"/>
          <w:sz w:val="32"/>
          <w:szCs w:val="24"/>
        </w:rPr>
      </w:pPr>
      <w:r>
        <w:rPr>
          <w:rFonts w:hint="default" w:ascii="Times New Roman" w:hAnsi="Times New Roman" w:eastAsia="仿宋_GB2312" w:cs="Times New Roman"/>
          <w:sz w:val="32"/>
          <w:szCs w:val="24"/>
        </w:rPr>
        <w:t>铜陵有色金翔物资有限责任公司坐落于安徽铜陵开源金属再生产业园核心区域，注册资本1亿元，规划占地面积达212亩，法人方秀富，担任</w:t>
      </w:r>
      <w:r>
        <w:rPr>
          <w:rFonts w:hint="default" w:ascii="Times New Roman" w:hAnsi="Times New Roman" w:eastAsia="仿宋_GB2312" w:cs="Times New Roman"/>
          <w:sz w:val="32"/>
          <w:szCs w:val="24"/>
        </w:rPr>
        <w:fldChar w:fldCharType="begin"/>
      </w:r>
      <w:r>
        <w:rPr>
          <w:rFonts w:hint="default" w:ascii="Times New Roman" w:hAnsi="Times New Roman" w:eastAsia="仿宋_GB2312" w:cs="Times New Roman"/>
          <w:sz w:val="32"/>
          <w:szCs w:val="24"/>
        </w:rPr>
        <w:instrText xml:space="preserve"> HYPERLINK "https://aiqicha.baidu.com/company_detail_70510623004144" </w:instrText>
      </w:r>
      <w:r>
        <w:rPr>
          <w:rFonts w:hint="default" w:ascii="Times New Roman" w:hAnsi="Times New Roman" w:eastAsia="仿宋_GB2312" w:cs="Times New Roman"/>
          <w:sz w:val="32"/>
          <w:szCs w:val="24"/>
        </w:rPr>
        <w:fldChar w:fldCharType="separate"/>
      </w:r>
      <w:r>
        <w:rPr>
          <w:rFonts w:hint="default" w:ascii="Times New Roman" w:hAnsi="Times New Roman" w:eastAsia="仿宋_GB2312" w:cs="Times New Roman"/>
          <w:sz w:val="32"/>
          <w:szCs w:val="24"/>
        </w:rPr>
        <w:t>铜陵有色金翔物资有限责任公司</w:t>
      </w:r>
      <w:r>
        <w:rPr>
          <w:rFonts w:hint="default" w:ascii="Times New Roman" w:hAnsi="Times New Roman" w:eastAsia="仿宋_GB2312" w:cs="Times New Roman"/>
          <w:sz w:val="32"/>
          <w:szCs w:val="24"/>
        </w:rPr>
        <w:fldChar w:fldCharType="end"/>
      </w:r>
      <w:r>
        <w:rPr>
          <w:rFonts w:hint="default" w:ascii="Times New Roman" w:hAnsi="Times New Roman" w:eastAsia="仿宋_GB2312" w:cs="Times New Roman"/>
          <w:sz w:val="32"/>
          <w:szCs w:val="24"/>
        </w:rPr>
        <w:t>、</w:t>
      </w:r>
      <w:r>
        <w:rPr>
          <w:rFonts w:hint="default" w:ascii="Times New Roman" w:hAnsi="Times New Roman" w:eastAsia="仿宋_GB2312" w:cs="Times New Roman"/>
          <w:sz w:val="32"/>
          <w:szCs w:val="24"/>
        </w:rPr>
        <w:fldChar w:fldCharType="begin"/>
      </w:r>
      <w:r>
        <w:rPr>
          <w:rFonts w:hint="default" w:ascii="Times New Roman" w:hAnsi="Times New Roman" w:eastAsia="仿宋_GB2312" w:cs="Times New Roman"/>
          <w:sz w:val="32"/>
          <w:szCs w:val="24"/>
        </w:rPr>
        <w:instrText xml:space="preserve"> HYPERLINK "https://aiqicha.baidu.com/company_detail_24806549171320" </w:instrText>
      </w:r>
      <w:r>
        <w:rPr>
          <w:rFonts w:hint="default" w:ascii="Times New Roman" w:hAnsi="Times New Roman" w:eastAsia="仿宋_GB2312" w:cs="Times New Roman"/>
          <w:sz w:val="32"/>
          <w:szCs w:val="24"/>
        </w:rPr>
        <w:fldChar w:fldCharType="separate"/>
      </w:r>
      <w:r>
        <w:rPr>
          <w:rFonts w:hint="default" w:ascii="Times New Roman" w:hAnsi="Times New Roman" w:eastAsia="仿宋_GB2312" w:cs="Times New Roman"/>
          <w:sz w:val="32"/>
          <w:szCs w:val="24"/>
        </w:rPr>
        <w:t>欧冶链金再生资源有限公司第三分公司</w:t>
      </w:r>
      <w:r>
        <w:rPr>
          <w:rFonts w:hint="default" w:ascii="Times New Roman" w:hAnsi="Times New Roman" w:eastAsia="仿宋_GB2312" w:cs="Times New Roman"/>
          <w:sz w:val="32"/>
          <w:szCs w:val="24"/>
        </w:rPr>
        <w:fldChar w:fldCharType="end"/>
      </w:r>
      <w:r>
        <w:rPr>
          <w:rFonts w:hint="default" w:ascii="Times New Roman" w:hAnsi="Times New Roman" w:eastAsia="仿宋_GB2312" w:cs="Times New Roman"/>
          <w:sz w:val="32"/>
          <w:szCs w:val="24"/>
        </w:rPr>
        <w:t>等公司法定代表人，担任</w:t>
      </w:r>
      <w:r>
        <w:rPr>
          <w:rFonts w:hint="default" w:ascii="Times New Roman" w:hAnsi="Times New Roman" w:eastAsia="仿宋_GB2312" w:cs="Times New Roman"/>
          <w:sz w:val="32"/>
          <w:szCs w:val="24"/>
        </w:rPr>
        <w:fldChar w:fldCharType="begin"/>
      </w:r>
      <w:r>
        <w:rPr>
          <w:rFonts w:hint="default" w:ascii="Times New Roman" w:hAnsi="Times New Roman" w:eastAsia="仿宋_GB2312" w:cs="Times New Roman"/>
          <w:sz w:val="32"/>
          <w:szCs w:val="24"/>
        </w:rPr>
        <w:instrText xml:space="preserve"> HYPERLINK "https://aiqicha.baidu.com/company_detail_70510623004144" </w:instrText>
      </w:r>
      <w:r>
        <w:rPr>
          <w:rFonts w:hint="default" w:ascii="Times New Roman" w:hAnsi="Times New Roman" w:eastAsia="仿宋_GB2312" w:cs="Times New Roman"/>
          <w:sz w:val="32"/>
          <w:szCs w:val="24"/>
        </w:rPr>
        <w:fldChar w:fldCharType="separate"/>
      </w:r>
      <w:r>
        <w:rPr>
          <w:rFonts w:hint="default" w:ascii="Times New Roman" w:hAnsi="Times New Roman" w:eastAsia="仿宋_GB2312" w:cs="Times New Roman"/>
          <w:sz w:val="32"/>
          <w:szCs w:val="24"/>
        </w:rPr>
        <w:t>铜陵有色金翔物资有限责任公司</w:t>
      </w:r>
      <w:r>
        <w:rPr>
          <w:rFonts w:hint="default" w:ascii="Times New Roman" w:hAnsi="Times New Roman" w:eastAsia="仿宋_GB2312" w:cs="Times New Roman"/>
          <w:sz w:val="32"/>
          <w:szCs w:val="24"/>
        </w:rPr>
        <w:fldChar w:fldCharType="end"/>
      </w:r>
      <w:r>
        <w:rPr>
          <w:rFonts w:hint="default" w:ascii="Times New Roman" w:hAnsi="Times New Roman" w:eastAsia="仿宋_GB2312" w:cs="Times New Roman"/>
          <w:sz w:val="32"/>
          <w:szCs w:val="24"/>
        </w:rPr>
        <w:t>等公司高管。自1993年创立以来，已深耕金属再生领域三十余载。2021年11月，通过与欧冶链金再生资源有限公司、铜陵有色金属集团的战略性合资重组，公司正式纳入中国宝武钢铁集团产业版图，成为欧冶链金旗下核心控股子公司。</w:t>
      </w:r>
    </w:p>
    <w:p w14:paraId="679199A2">
      <w:pPr>
        <w:spacing w:line="360" w:lineRule="auto"/>
        <w:ind w:firstLine="641"/>
        <w:rPr>
          <w:rFonts w:hint="default" w:ascii="Times New Roman" w:hAnsi="Times New Roman" w:eastAsia="仿宋_GB2312" w:cs="Times New Roman"/>
          <w:sz w:val="32"/>
          <w:szCs w:val="24"/>
        </w:rPr>
      </w:pPr>
      <w:r>
        <w:rPr>
          <w:rFonts w:hint="default" w:ascii="Times New Roman" w:hAnsi="Times New Roman" w:eastAsia="仿宋_GB2312" w:cs="Times New Roman"/>
          <w:sz w:val="32"/>
          <w:szCs w:val="24"/>
        </w:rPr>
        <w:t>作为欧冶链金布局国内金属再生资源业务的专业化运营主体与全球化资源配置战略的关键实施平台，铜陵金翔构建起覆盖废旧金属全产业链的运营体系。业务涵盖废旧金属的采购回收、精细化加工处理、智能化仓储管理及市场化销售，同时拓展有色金属深加工制造业务，形成集资源回收、环保拆解、绿色生产、技术研发、市场销售于一体的完整产业闭环，是国内领先的再生金属深加工企业。</w:t>
      </w:r>
    </w:p>
    <w:p w14:paraId="57BFDC0E">
      <w:pPr>
        <w:spacing w:line="360" w:lineRule="auto"/>
        <w:ind w:firstLine="641"/>
        <w:rPr>
          <w:rFonts w:hint="default" w:ascii="Times New Roman" w:hAnsi="Times New Roman" w:eastAsia="仿宋_GB2312" w:cs="Times New Roman"/>
          <w:sz w:val="32"/>
          <w:szCs w:val="24"/>
        </w:rPr>
      </w:pPr>
      <w:r>
        <w:rPr>
          <w:rFonts w:hint="default" w:ascii="Times New Roman" w:hAnsi="Times New Roman" w:eastAsia="仿宋_GB2312" w:cs="Times New Roman"/>
          <w:sz w:val="32"/>
          <w:szCs w:val="24"/>
        </w:rPr>
        <w:t>公司立足长远发展，构建起层次分明、协同高效的业务体系。以生产制造为核心根基，夯实产业发展底盘；以国际贸易为关键纽带，搭建起联通全球市场的桥梁。两大大战略板块深度融合、相互赋能，形成优势互补、联动发展的现代化业务格局，持续提升综合竞争力与市场影响力。且公司作为中国废钢铁应用协会会员单位及工信部废钢铁加工行业准入公告企业，具备行业权威资质认证；同时作为福建三钢闽光股份有限公司优秀废钢供应商，在再生资源回收领域拥有稳定的优质客户合作基础，并已依法完成再生资源回收经营备案，形成从资质合规到市场认可的完整产业闭环。</w:t>
      </w:r>
    </w:p>
    <w:p w14:paraId="54B69564">
      <w:pPr>
        <w:spacing w:line="360" w:lineRule="auto"/>
        <w:ind w:firstLine="641"/>
        <w:rPr>
          <w:rFonts w:hint="default" w:ascii="Times New Roman" w:hAnsi="Times New Roman" w:eastAsia="仿宋_GB2312" w:cs="Times New Roman"/>
          <w:sz w:val="32"/>
          <w:szCs w:val="24"/>
          <w:lang w:eastAsia="zh-CN"/>
        </w:rPr>
      </w:pPr>
      <w:r>
        <w:rPr>
          <w:rFonts w:hint="default" w:ascii="Times New Roman" w:hAnsi="Times New Roman" w:eastAsia="仿宋_GB2312" w:cs="Times New Roman"/>
          <w:sz w:val="32"/>
          <w:szCs w:val="24"/>
        </w:rPr>
        <w:t>公司始终秉持“资源有限、再生无限；综合利用、绿色发展”的核心理念，持续推进技术创新与产业升级，致力于打造具有卓越品牌影响力和规模效应的再生资源循环利用标杆企业，为推动区域绿色经济发展与资源可持续利用贡献力量。</w:t>
      </w:r>
    </w:p>
    <w:p w14:paraId="62B7ED8B">
      <w:pPr>
        <w:bidi w:val="0"/>
        <w:rPr>
          <w:rFonts w:hint="default"/>
          <w:lang w:eastAsia="zh-CN"/>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476AED20">
      <w:pPr>
        <w:pStyle w:val="3"/>
        <w:keepNext/>
        <w:keepLines/>
        <w:pageBreakBefore w:val="0"/>
        <w:widowControl w:val="0"/>
        <w:kinsoku/>
        <w:wordWrap/>
        <w:overflowPunct/>
        <w:topLinePunct w:val="0"/>
        <w:autoSpaceDE/>
        <w:autoSpaceDN/>
        <w:bidi w:val="0"/>
        <w:adjustRightInd/>
        <w:snapToGrid/>
        <w:spacing w:after="0" w:line="416" w:lineRule="auto"/>
        <w:textAlignment w:val="auto"/>
        <w:rPr>
          <w:rFonts w:hint="default"/>
        </w:rPr>
      </w:pPr>
      <w:bookmarkStart w:id="6" w:name="_Toc12927"/>
      <w:bookmarkStart w:id="7" w:name="_Toc16061"/>
      <w:r>
        <w:rPr>
          <w:rFonts w:hint="default"/>
        </w:rPr>
        <w:t>2.2  组织机构描述</w:t>
      </w:r>
      <w:bookmarkEnd w:id="6"/>
      <w:bookmarkEnd w:id="7"/>
    </w:p>
    <w:p w14:paraId="6E1EC2F5">
      <w:pPr>
        <w:bidi w:val="0"/>
        <w:rPr>
          <w:rFonts w:hint="default"/>
        </w:rPr>
      </w:pPr>
      <w:r>
        <w:rPr>
          <w:rFonts w:hint="default"/>
        </w:rPr>
        <w:t>公司组织机构如图2-</w:t>
      </w:r>
      <w:r>
        <w:rPr>
          <w:rFonts w:hint="default"/>
          <w:lang w:val="en-US" w:eastAsia="zh-CN"/>
        </w:rPr>
        <w:t>1</w:t>
      </w:r>
      <w:r>
        <w:rPr>
          <w:rFonts w:hint="default"/>
        </w:rPr>
        <w:t>所示。</w:t>
      </w:r>
    </w:p>
    <w:p w14:paraId="02F88323">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方正仿宋_GBK" w:cs="Times New Roman"/>
          <w:kern w:val="0"/>
          <w:szCs w:val="21"/>
          <w:lang w:eastAsia="zh-CN"/>
        </w:rPr>
      </w:pPr>
      <w:r>
        <w:rPr>
          <w:rFonts w:hint="eastAsia"/>
          <w:lang w:val="en-US" w:eastAsia="zh-CN"/>
        </w:rPr>
        <w:drawing>
          <wp:inline distT="0" distB="0" distL="114300" distR="114300">
            <wp:extent cx="8190865" cy="3470910"/>
            <wp:effectExtent l="0" t="0" r="0" b="0"/>
            <wp:docPr id="3" name="ECB019B1-382A-4266-B25C-5B523AA43C14-1" descr="C:/Users/Administrator/AppData/Local/Temp/wps.TYVoEi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CB019B1-382A-4266-B25C-5B523AA43C14-1" descr="C:/Users/Administrator/AppData/Local/Temp/wps.TYVoEiwps"/>
                    <pic:cNvPicPr>
                      <a:picLocks noChangeAspect="1"/>
                    </pic:cNvPicPr>
                  </pic:nvPicPr>
                  <pic:blipFill>
                    <a:blip r:embed="rId10"/>
                    <a:srcRect t="5099" b="4257"/>
                    <a:stretch>
                      <a:fillRect/>
                    </a:stretch>
                  </pic:blipFill>
                  <pic:spPr>
                    <a:xfrm>
                      <a:off x="0" y="0"/>
                      <a:ext cx="8190865" cy="3470910"/>
                    </a:xfrm>
                    <a:prstGeom prst="rect">
                      <a:avLst/>
                    </a:prstGeom>
                  </pic:spPr>
                </pic:pic>
              </a:graphicData>
            </a:graphic>
          </wp:inline>
        </w:drawing>
      </w:r>
    </w:p>
    <w:p w14:paraId="2D2C8059">
      <w:pPr>
        <w:pStyle w:val="27"/>
        <w:bidi w:val="0"/>
        <w:rPr>
          <w:rFonts w:hint="default"/>
          <w:lang w:val="en-US" w:eastAsia="zh-CN"/>
        </w:rPr>
      </w:pPr>
      <w:r>
        <w:rPr>
          <w:rFonts w:hint="default"/>
          <w:lang w:val="en-US" w:eastAsia="zh-CN"/>
        </w:rPr>
        <w:t>图2-1 公司组织机构图</w:t>
      </w:r>
    </w:p>
    <w:p w14:paraId="154DB529">
      <w:pPr>
        <w:spacing w:line="360" w:lineRule="auto"/>
        <w:ind w:firstLine="480" w:firstLineChars="200"/>
        <w:rPr>
          <w:rFonts w:hint="default" w:ascii="Times New Roman" w:hAnsi="Times New Roman" w:eastAsia="宋体" w:cs="Times New Roman"/>
          <w:color w:val="000000"/>
          <w:sz w:val="24"/>
          <w:szCs w:val="24"/>
          <w:lang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720" w:num="1"/>
          <w:docGrid w:type="lines" w:linePitch="312" w:charSpace="0"/>
        </w:sectPr>
      </w:pPr>
    </w:p>
    <w:p w14:paraId="2E967573">
      <w:pPr>
        <w:bidi w:val="0"/>
        <w:rPr>
          <w:rFonts w:hint="default"/>
        </w:rPr>
      </w:pPr>
      <w:r>
        <w:rPr>
          <w:rFonts w:hint="eastAsia"/>
          <w:lang w:eastAsia="zh-CN"/>
        </w:rPr>
        <w:t>铜陵有色金翔物资有限责任公司</w:t>
      </w:r>
      <w:r>
        <w:rPr>
          <w:rFonts w:hint="default"/>
          <w:lang w:eastAsia="zh-CN"/>
        </w:rPr>
        <w:t>的</w:t>
      </w:r>
      <w:r>
        <w:rPr>
          <w:rFonts w:hint="default"/>
        </w:rPr>
        <w:t>三级管理体系健全，</w:t>
      </w:r>
      <w:r>
        <w:rPr>
          <w:rFonts w:hint="eastAsia"/>
          <w:lang w:val="en-US" w:eastAsia="zh-CN"/>
        </w:rPr>
        <w:t>董事长</w:t>
      </w:r>
      <w:r>
        <w:rPr>
          <w:rFonts w:hint="default"/>
        </w:rPr>
        <w:t>对公司的重大决策作决定，主要部门设有</w:t>
      </w:r>
      <w:r>
        <w:rPr>
          <w:rFonts w:hint="eastAsia" w:cs="Times New Roman"/>
          <w:highlight w:val="none"/>
          <w:lang w:val="en-US" w:eastAsia="zh-CN"/>
        </w:rPr>
        <w:t>综合管理部、财务部、基地管理部、经营一部、经营二部、经营三部、安全生产部</w:t>
      </w:r>
      <w:r>
        <w:rPr>
          <w:rFonts w:hint="default"/>
        </w:rPr>
        <w:t>。</w:t>
      </w:r>
    </w:p>
    <w:p w14:paraId="1891545D">
      <w:pPr>
        <w:bidi w:val="0"/>
        <w:rPr>
          <w:rFonts w:hint="default"/>
        </w:rPr>
      </w:pPr>
      <w:r>
        <w:rPr>
          <w:rFonts w:hint="default"/>
        </w:rPr>
        <w:t>公司组织管理原则如下：</w:t>
      </w:r>
    </w:p>
    <w:p w14:paraId="2C9D5576">
      <w:pPr>
        <w:bidi w:val="0"/>
        <w:rPr>
          <w:rFonts w:hint="default"/>
        </w:rPr>
      </w:pPr>
      <w:r>
        <w:rPr>
          <w:rFonts w:hint="default"/>
        </w:rPr>
        <w:t>1、集权与分权相结合原则：统一领导、分级管理；</w:t>
      </w:r>
    </w:p>
    <w:p w14:paraId="1BE2DD54">
      <w:pPr>
        <w:bidi w:val="0"/>
        <w:rPr>
          <w:rFonts w:hint="default"/>
        </w:rPr>
      </w:pPr>
      <w:r>
        <w:rPr>
          <w:rFonts w:hint="default"/>
        </w:rPr>
        <w:t>2、命令指挥统一原则：下级组织只接受一个上级组织的命令和指挥，个人只对一个上级汇报工作的原则；</w:t>
      </w:r>
    </w:p>
    <w:p w14:paraId="082F00C3">
      <w:pPr>
        <w:bidi w:val="0"/>
        <w:rPr>
          <w:rFonts w:hint="default"/>
        </w:rPr>
      </w:pPr>
      <w:r>
        <w:rPr>
          <w:rFonts w:hint="default"/>
        </w:rPr>
        <w:t>3、责权利相对应原则：责任明确、权利适当、利益合理；</w:t>
      </w:r>
    </w:p>
    <w:p w14:paraId="4DA2843A">
      <w:pPr>
        <w:bidi w:val="0"/>
        <w:rPr>
          <w:rFonts w:hint="default"/>
        </w:rPr>
      </w:pPr>
      <w:r>
        <w:rPr>
          <w:rFonts w:hint="default"/>
        </w:rPr>
        <w:t>4、执行和监督分设原则：监督要公正客观，必须不直接参与执行；</w:t>
      </w:r>
    </w:p>
    <w:p w14:paraId="657BCA31">
      <w:pPr>
        <w:bidi w:val="0"/>
        <w:rPr>
          <w:rFonts w:hint="default"/>
        </w:rPr>
      </w:pPr>
      <w:r>
        <w:rPr>
          <w:rFonts w:hint="default"/>
        </w:rPr>
        <w:t>5、合理分工、团结协作；</w:t>
      </w:r>
    </w:p>
    <w:p w14:paraId="660ECED6">
      <w:pPr>
        <w:bidi w:val="0"/>
        <w:rPr>
          <w:rFonts w:hint="default"/>
        </w:rPr>
      </w:pPr>
      <w:r>
        <w:rPr>
          <w:rFonts w:hint="default"/>
        </w:rPr>
        <w:t>6、组织的总目标至高无上，任何个人和团体利益不能置于组织利益之上。</w:t>
      </w:r>
    </w:p>
    <w:p w14:paraId="56A73E2C">
      <w:pPr>
        <w:spacing w:line="360" w:lineRule="auto"/>
        <w:ind w:firstLine="480" w:firstLineChars="200"/>
        <w:rPr>
          <w:rFonts w:hint="default" w:ascii="Times New Roman" w:hAnsi="Times New Roman" w:eastAsia="宋体" w:cs="Times New Roman"/>
          <w:color w:val="000000"/>
          <w:sz w:val="24"/>
          <w:szCs w:val="24"/>
        </w:rPr>
      </w:pPr>
    </w:p>
    <w:p w14:paraId="6EF5906E">
      <w:pPr>
        <w:pStyle w:val="3"/>
        <w:spacing w:before="156" w:beforeLines="50" w:after="156" w:afterLines="50" w:line="360" w:lineRule="auto"/>
        <w:rPr>
          <w:rFonts w:hint="default" w:ascii="Times New Roman" w:hAnsi="Times New Roman" w:eastAsia="宋体" w:cs="Times New Roman"/>
          <w:sz w:val="24"/>
          <w:szCs w:val="24"/>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1B3B2F26">
      <w:pPr>
        <w:pStyle w:val="3"/>
        <w:bidi w:val="0"/>
        <w:rPr>
          <w:rFonts w:hint="default"/>
        </w:rPr>
      </w:pPr>
      <w:bookmarkStart w:id="8" w:name="_Toc6615"/>
      <w:bookmarkStart w:id="9" w:name="_Toc2350"/>
      <w:r>
        <w:rPr>
          <w:rFonts w:hint="default"/>
        </w:rPr>
        <w:t>2.3  工艺流程简介</w:t>
      </w:r>
      <w:bookmarkEnd w:id="8"/>
      <w:bookmarkEnd w:id="9"/>
    </w:p>
    <w:p w14:paraId="3C934A26">
      <w:pPr>
        <w:bidi w:val="0"/>
        <w:rPr>
          <w:rFonts w:hint="default"/>
          <w:lang w:eastAsia="zh-CN"/>
        </w:rPr>
      </w:pPr>
      <w:r>
        <w:rPr>
          <w:rFonts w:hint="default"/>
          <w:lang w:eastAsia="zh-CN"/>
        </w:rPr>
        <w:t>项目原料由汽车运入厂区，经辐射检测仪检测合格的原料由人工 进行分选，不合格退回供货商；易拉罐、彩钢瓦、铁皮等轻薄料进入全自动破碎生产线破碎成颗粒状或者经剪切机剪切成需要的尺寸，非磁性物质包括废铜、废铝、橡胶轮胎、塑料等一起外售至下游厂家；摩托车、电瓶车车架等大型物料经剪切机剪切成合适大小后外售；废电机经人工拆解后将外壳、转子、定子直接外售，废铜线、废漆包线、绝缘体等收集后外售；钢丝、钢丝绳、铁丝等物料由液压机压成方块状后外售。</w:t>
      </w:r>
    </w:p>
    <w:p w14:paraId="3A906D02">
      <w:pPr>
        <w:bidi w:val="0"/>
        <w:rPr>
          <w:rFonts w:hint="eastAsia"/>
          <w:lang w:val="en-US" w:eastAsia="zh-CN"/>
        </w:rPr>
      </w:pPr>
      <w:r>
        <w:rPr>
          <w:rFonts w:hint="eastAsia"/>
          <w:lang w:val="en-US" w:eastAsia="zh-CN"/>
        </w:rPr>
        <w:t>（1）称重</w:t>
      </w:r>
    </w:p>
    <w:p w14:paraId="5159F4F7">
      <w:pPr>
        <w:bidi w:val="0"/>
        <w:rPr>
          <w:rFonts w:hint="default"/>
          <w:lang w:val="en-US" w:eastAsia="zh-CN"/>
        </w:rPr>
      </w:pPr>
      <w:r>
        <w:rPr>
          <w:rFonts w:hint="default"/>
        </w:rPr>
        <w:t>建设单位严格遵循行业标准与生产需求，精心规划原料采购策略，从国内优质供应商处批量采购废钢铁作为核心生产原料。为确保原料计量的精准性与数据可靠性，所有进厂原料均须经由专业计量设备——一台最大称重量程达150吨的高精度地磅进行严格称重检验。</w:t>
      </w:r>
    </w:p>
    <w:p w14:paraId="799056A3">
      <w:pPr>
        <w:bidi w:val="0"/>
        <w:rPr>
          <w:rFonts w:hint="default"/>
          <w:lang w:eastAsia="zh-CN"/>
        </w:rPr>
      </w:pPr>
      <w:r>
        <w:rPr>
          <w:rFonts w:hint="eastAsia"/>
          <w:lang w:eastAsia="zh-CN"/>
        </w:rPr>
        <w:t>（</w:t>
      </w:r>
      <w:r>
        <w:rPr>
          <w:rFonts w:hint="eastAsia"/>
          <w:lang w:val="en-US" w:eastAsia="zh-CN"/>
        </w:rPr>
        <w:t>2</w:t>
      </w:r>
      <w:r>
        <w:rPr>
          <w:rFonts w:hint="eastAsia"/>
          <w:lang w:eastAsia="zh-CN"/>
        </w:rPr>
        <w:t>）</w:t>
      </w:r>
      <w:r>
        <w:rPr>
          <w:rFonts w:hint="default"/>
          <w:lang w:eastAsia="zh-CN"/>
        </w:rPr>
        <w:t>检测放射源</w:t>
      </w:r>
    </w:p>
    <w:p w14:paraId="3158AC51">
      <w:pPr>
        <w:bidi w:val="0"/>
        <w:rPr>
          <w:rFonts w:hint="default"/>
          <w:lang w:eastAsia="zh-CN"/>
        </w:rPr>
      </w:pPr>
      <w:r>
        <w:rPr>
          <w:rFonts w:hint="default"/>
        </w:rPr>
        <w:t>称重后的运输车辆通过通道式车辆放射性检测系统进行放射性检验，检验合格后的废钢铁方可进入厂区内。根据设备厂家提供的资料，建设项目使用的通道式车辆放射性检测系统（RJ11-2050型）不具备放射性，其主要功能是对物料中的是否夹杂有放射源进行检测，当检测出放射源时</w:t>
      </w:r>
      <w:r>
        <w:rPr>
          <w:rFonts w:hint="eastAsia"/>
          <w:lang w:eastAsia="zh-CN"/>
        </w:rPr>
        <w:t>，</w:t>
      </w:r>
      <w:r>
        <w:rPr>
          <w:rFonts w:hint="default"/>
          <w:lang w:eastAsia="zh-CN"/>
        </w:rPr>
        <w:t>运输车辆将立即被隔离在厂区外，并按照应急预案上报生态环境</w:t>
      </w:r>
      <w:bookmarkStart w:id="30" w:name="_GoBack"/>
      <w:bookmarkEnd w:id="30"/>
      <w:r>
        <w:rPr>
          <w:rFonts w:hint="default"/>
          <w:lang w:eastAsia="zh-CN"/>
        </w:rPr>
        <w:t>部门处理</w:t>
      </w:r>
      <w:r>
        <w:rPr>
          <w:rFonts w:hint="eastAsia"/>
          <w:lang w:eastAsia="zh-CN"/>
        </w:rPr>
        <w:t>。</w:t>
      </w:r>
      <w:r>
        <w:rPr>
          <w:rFonts w:hint="default"/>
          <w:lang w:eastAsia="zh-CN"/>
        </w:rPr>
        <w:t>若检测结果正常，车辆则继续驶入厂区，在指定原料堆放区进行卸货作业。整个流程</w:t>
      </w:r>
      <w:r>
        <w:rPr>
          <w:rFonts w:hint="eastAsia"/>
          <w:lang w:val="en-US" w:eastAsia="zh-CN"/>
        </w:rPr>
        <w:t>参照</w:t>
      </w:r>
      <w:r>
        <w:rPr>
          <w:rFonts w:hint="default"/>
        </w:rPr>
        <w:t>《放射性同位素与射线装置安全和防护条例》（2019年3月2日修订）中的第三十九条“金属冶炼厂回收冶炼废旧金属</w:t>
      </w:r>
      <w:r>
        <w:rPr>
          <w:rFonts w:hint="eastAsia"/>
          <w:lang w:eastAsia="zh-CN"/>
        </w:rPr>
        <w:t>”</w:t>
      </w:r>
      <w:r>
        <w:rPr>
          <w:rFonts w:hint="eastAsia"/>
          <w:lang w:val="en-US" w:eastAsia="zh-CN"/>
        </w:rPr>
        <w:t>部分</w:t>
      </w:r>
      <w:r>
        <w:rPr>
          <w:rFonts w:hint="default"/>
        </w:rPr>
        <w:t>，采取必要的监测措施，</w:t>
      </w:r>
      <w:r>
        <w:rPr>
          <w:rFonts w:hint="default"/>
          <w:lang w:eastAsia="zh-CN"/>
        </w:rPr>
        <w:t>确保生产安全与环保合规。</w:t>
      </w:r>
    </w:p>
    <w:p w14:paraId="31D77811">
      <w:pPr>
        <w:bidi w:val="0"/>
        <w:rPr>
          <w:rFonts w:hint="default"/>
          <w:lang w:eastAsia="zh-CN"/>
        </w:rPr>
      </w:pPr>
      <w:r>
        <w:rPr>
          <w:rFonts w:hint="eastAsia"/>
          <w:lang w:val="en-US" w:eastAsia="zh-CN"/>
        </w:rPr>
        <w:t>（3）</w:t>
      </w:r>
      <w:r>
        <w:rPr>
          <w:rFonts w:hint="default"/>
          <w:lang w:eastAsia="zh-CN"/>
        </w:rPr>
        <w:t>归类分拣</w:t>
      </w:r>
    </w:p>
    <w:p w14:paraId="3225F972">
      <w:pPr>
        <w:bidi w:val="0"/>
        <w:rPr>
          <w:rFonts w:hint="default"/>
          <w:lang w:eastAsia="zh-CN"/>
        </w:rPr>
      </w:pPr>
      <w:r>
        <w:rPr>
          <w:rFonts w:hint="default"/>
          <w:lang w:eastAsia="zh-CN"/>
        </w:rPr>
        <w:t>经过严格验收的废钢原料，首先按照大型、中型、轻型三类规格进行分区堆放。对于统货废钢，我们采用专业的人工分选工艺：操作人员通过目视检查和手工分拣，不仅将不同规格的废钢分类归置于相应堆区，同时还会精细分选出铜、铝、不锈钢等有色金属、带镀层工件以及废铜、废铝等可回收资源，并剔除橡胶轮胎、塑料等非金属杂质。这套完善的分选流程既确保了各类废钢的精准分类，又有效防止了异物进入破碎系统，为后续加工环节提供了高质量的原料保障，同时实现了资源的最大化利用。</w:t>
      </w:r>
    </w:p>
    <w:p w14:paraId="75DF5903">
      <w:pPr>
        <w:bidi w:val="0"/>
        <w:rPr>
          <w:rFonts w:hint="default"/>
          <w:lang w:eastAsia="zh-CN"/>
        </w:rPr>
      </w:pPr>
      <w:r>
        <w:rPr>
          <w:rFonts w:hint="eastAsia"/>
          <w:lang w:val="en-US" w:eastAsia="zh-CN"/>
        </w:rPr>
        <w:t>（4）</w:t>
      </w:r>
      <w:r>
        <w:rPr>
          <w:rFonts w:hint="default"/>
          <w:lang w:eastAsia="zh-CN"/>
        </w:rPr>
        <w:t>剪切</w:t>
      </w:r>
    </w:p>
    <w:p w14:paraId="1466B6B0">
      <w:pPr>
        <w:bidi w:val="0"/>
        <w:rPr>
          <w:rFonts w:hint="default"/>
          <w:lang w:eastAsia="zh-CN"/>
        </w:rPr>
      </w:pPr>
      <w:r>
        <w:rPr>
          <w:rFonts w:hint="default"/>
          <w:lang w:eastAsia="zh-CN"/>
        </w:rPr>
        <w:t>经过专业分选工序后，得到的大尺寸厚废钢（约占60%），包括矿山机械设备、工业废旧装置、农业机械构件以及摩托车车架等重型废料将进入剪切加工环节。我们采用先进的液压剪切设备组合——包括鳄鱼式液压剪切机、卧式全自动剪切机和龙门式液压剪切机，通过精准的剪切工艺将这些大型废钢原料加工成宽度为40-80厘米的标准化条状废钢。采用多机型协同作业模式确保了加工效率，满足不同规格废钢的剪切需求，为后续熔炼工序提供符合尺寸要求的优质原料。</w:t>
      </w:r>
    </w:p>
    <w:p w14:paraId="437B354F">
      <w:pPr>
        <w:bidi w:val="0"/>
        <w:rPr>
          <w:rFonts w:hint="default"/>
          <w:lang w:eastAsia="zh-CN"/>
        </w:rPr>
      </w:pPr>
      <w:r>
        <w:rPr>
          <w:rFonts w:hint="eastAsia"/>
          <w:lang w:val="en-US" w:eastAsia="zh-CN"/>
        </w:rPr>
        <w:t>（5）</w:t>
      </w:r>
      <w:r>
        <w:rPr>
          <w:rFonts w:hint="default"/>
          <w:lang w:eastAsia="zh-CN"/>
        </w:rPr>
        <w:t>压块</w:t>
      </w:r>
    </w:p>
    <w:p w14:paraId="68B8FA74">
      <w:pPr>
        <w:bidi w:val="0"/>
        <w:rPr>
          <w:rFonts w:hint="default"/>
          <w:lang w:eastAsia="zh-CN"/>
        </w:rPr>
      </w:pPr>
      <w:r>
        <w:rPr>
          <w:rFonts w:hint="default"/>
          <w:lang w:eastAsia="zh-CN"/>
        </w:rPr>
        <w:t>经过系统分选后的轻薄废钢料，包括各类钢丝、钢丝绳、铁丝以及易拉罐、铁皮等物料，将采用先进的液压打包设备进行处理。我们配备有立式液压金属打包机和卧式液压打包机，通过高压成型工艺将这些分散的轻薄废钢压缩成高密度的标准块状。成品规格严格控制在：长度60-140厘米、宽度50-80厘米、高度50-80厘米的范围内。用标准化打包工艺大幅提高了运输和存储效率，同时保证了后续熔炼工序的原料质量和稳定性，使资源得到最大化利用。</w:t>
      </w:r>
    </w:p>
    <w:p w14:paraId="1B6D1D6B">
      <w:pPr>
        <w:bidi w:val="0"/>
        <w:rPr>
          <w:rFonts w:hint="default"/>
          <w:lang w:eastAsia="zh-CN"/>
        </w:rPr>
      </w:pPr>
      <w:r>
        <w:rPr>
          <w:rFonts w:hint="eastAsia"/>
          <w:lang w:val="en-US" w:eastAsia="zh-CN"/>
        </w:rPr>
        <w:t>（6）</w:t>
      </w:r>
      <w:r>
        <w:rPr>
          <w:rFonts w:hint="default"/>
          <w:lang w:eastAsia="zh-CN"/>
        </w:rPr>
        <w:t>外售</w:t>
      </w:r>
    </w:p>
    <w:p w14:paraId="440E4D37">
      <w:pPr>
        <w:bidi w:val="0"/>
        <w:rPr>
          <w:rFonts w:hint="default"/>
          <w:lang w:eastAsia="zh-CN"/>
        </w:rPr>
      </w:pPr>
      <w:r>
        <w:rPr>
          <w:rFonts w:hint="default"/>
          <w:lang w:eastAsia="zh-CN"/>
        </w:rPr>
        <w:t>经过加工处理的成品废钢将统一暂存于标准化成品仓库，按照生产计划定期批量发往合作钢厂；同时，分选回收的有色金属（如铜、铝等）、橡胶制品及塑料构件等副产品，将分类整理后定向销售给专业再生资源利用企业，实现资源价值的最大化。</w:t>
      </w:r>
    </w:p>
    <w:p w14:paraId="6FD58DED">
      <w:pPr>
        <w:bidi w:val="0"/>
        <w:ind w:left="0" w:leftChars="0" w:firstLine="0" w:firstLineChars="0"/>
        <w:jc w:val="center"/>
      </w:pPr>
      <w:r>
        <w:drawing>
          <wp:inline distT="0" distB="0" distL="114300" distR="114300">
            <wp:extent cx="5280025" cy="4450080"/>
            <wp:effectExtent l="0" t="0" r="0" b="0"/>
            <wp:docPr id="206" name="图片 206" descr="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206" descr="流程图"/>
                    <pic:cNvPicPr>
                      <a:picLocks noChangeAspect="1"/>
                    </pic:cNvPicPr>
                  </pic:nvPicPr>
                  <pic:blipFill>
                    <a:blip r:embed="rId11">
                      <a:clrChange>
                        <a:clrFrom>
                          <a:srgbClr val="FFFFFF">
                            <a:alpha val="100000"/>
                          </a:srgbClr>
                        </a:clrFrom>
                        <a:clrTo>
                          <a:srgbClr val="FFFFFF">
                            <a:alpha val="100000"/>
                            <a:alpha val="0"/>
                          </a:srgbClr>
                        </a:clrTo>
                      </a:clrChange>
                    </a:blip>
                    <a:stretch>
                      <a:fillRect/>
                    </a:stretch>
                  </pic:blipFill>
                  <pic:spPr>
                    <a:xfrm>
                      <a:off x="0" y="0"/>
                      <a:ext cx="5280025" cy="4450080"/>
                    </a:xfrm>
                    <a:prstGeom prst="rect">
                      <a:avLst/>
                    </a:prstGeom>
                  </pic:spPr>
                </pic:pic>
              </a:graphicData>
            </a:graphic>
          </wp:inline>
        </w:drawing>
      </w:r>
    </w:p>
    <w:p w14:paraId="27E447EB">
      <w:pPr>
        <w:pStyle w:val="27"/>
        <w:bidi w:val="0"/>
        <w:rPr>
          <w:rFonts w:hint="default"/>
          <w:lang w:eastAsia="zh-CN"/>
        </w:rPr>
      </w:pPr>
      <w:r>
        <w:rPr>
          <w:rFonts w:hint="eastAsia"/>
          <w:lang w:val="en-US" w:eastAsia="zh-CN"/>
        </w:rPr>
        <w:t>图2-2 废钢拆解回收工艺</w:t>
      </w:r>
    </w:p>
    <w:p w14:paraId="52D5BFC0">
      <w:pPr>
        <w:pStyle w:val="3"/>
        <w:bidi w:val="0"/>
        <w:rPr>
          <w:rFonts w:hint="default"/>
        </w:rPr>
      </w:pPr>
      <w:bookmarkStart w:id="10" w:name="_Toc22481"/>
      <w:bookmarkStart w:id="11" w:name="_Toc10080"/>
      <w:r>
        <w:rPr>
          <w:rFonts w:hint="default"/>
        </w:rPr>
        <w:t>2.4  核算单元划分及排放源识别</w:t>
      </w:r>
      <w:bookmarkEnd w:id="10"/>
      <w:bookmarkEnd w:id="11"/>
    </w:p>
    <w:p w14:paraId="0863D162">
      <w:pPr>
        <w:bidi w:val="0"/>
        <w:rPr>
          <w:rFonts w:hint="default"/>
          <w:b/>
          <w:bCs/>
        </w:rPr>
      </w:pPr>
      <w:r>
        <w:rPr>
          <w:rFonts w:hint="default"/>
          <w:b/>
          <w:bCs/>
        </w:rPr>
        <w:t>1、企业核算单元划分</w:t>
      </w:r>
    </w:p>
    <w:p w14:paraId="75B1CCB6">
      <w:pPr>
        <w:ind w:firstLine="880"/>
        <w:rPr>
          <w:rFonts w:hint="default" w:cs="Times New Roman"/>
          <w:lang w:val="en-US" w:eastAsia="zh-CN"/>
        </w:rPr>
      </w:pPr>
      <w:r>
        <w:rPr>
          <w:rFonts w:hint="eastAsia" w:cs="Times New Roman"/>
          <w:lang w:val="en-US" w:eastAsia="zh-CN"/>
        </w:rPr>
        <w:t>铜陵有色金翔物资有限责任公司</w:t>
      </w:r>
      <w:r>
        <w:rPr>
          <w:rFonts w:hint="default" w:ascii="Times New Roman" w:hAnsi="Times New Roman" w:cs="Times New Roman"/>
          <w:lang w:val="en-US" w:eastAsia="zh-CN"/>
        </w:rPr>
        <w:t>，</w:t>
      </w:r>
      <w:r>
        <w:rPr>
          <w:rFonts w:hint="default" w:cs="Times New Roman"/>
          <w:lang w:val="en-US" w:eastAsia="zh-CN"/>
        </w:rPr>
        <w:t>位于</w:t>
      </w:r>
      <w:r>
        <w:rPr>
          <w:rFonts w:hint="eastAsia" w:cs="Times New Roman"/>
          <w:lang w:val="en-US" w:eastAsia="zh-CN"/>
        </w:rPr>
        <w:t>安徽省铜陵市铜陵大桥经济开发区横港物流园内</w:t>
      </w:r>
      <w:r>
        <w:rPr>
          <w:rFonts w:hint="default" w:cs="Times New Roman"/>
          <w:lang w:val="en-US" w:eastAsia="zh-CN"/>
        </w:rPr>
        <w:t>。</w:t>
      </w:r>
    </w:p>
    <w:p w14:paraId="539361A2">
      <w:pPr>
        <w:ind w:firstLine="880"/>
        <w:rPr>
          <w:rFonts w:hint="default" w:ascii="Times New Roman" w:hAnsi="Times New Roman" w:cs="Times New Roman"/>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default" w:ascii="Times New Roman" w:hAnsi="Times New Roman" w:cs="Times New Roman"/>
          <w:lang w:val="en-US" w:eastAsia="zh-CN"/>
        </w:rPr>
        <w:t>企业温室气体排放核算边界为</w:t>
      </w:r>
      <w:r>
        <w:rPr>
          <w:rFonts w:hint="eastAsia" w:cs="Times New Roman"/>
          <w:lang w:val="en-US" w:eastAsia="zh-CN"/>
        </w:rPr>
        <w:t>厂区东侧废钢打包车间、仓储1以及公司厂部办公楼</w:t>
      </w:r>
      <w:r>
        <w:rPr>
          <w:rFonts w:hint="default" w:ascii="Times New Roman" w:hAnsi="Times New Roman" w:cs="Times New Roman"/>
          <w:lang w:val="en-US" w:eastAsia="zh-CN"/>
        </w:rPr>
        <w:t>，厂区布置如图2-</w:t>
      </w:r>
      <w:r>
        <w:rPr>
          <w:rFonts w:hint="eastAsia" w:cs="Times New Roman"/>
          <w:lang w:val="en-US" w:eastAsia="zh-CN"/>
        </w:rPr>
        <w:t>3</w:t>
      </w:r>
      <w:r>
        <w:rPr>
          <w:rFonts w:hint="default" w:ascii="Times New Roman" w:hAnsi="Times New Roman" w:cs="Times New Roman"/>
          <w:lang w:val="en-US" w:eastAsia="zh-CN"/>
        </w:rPr>
        <w:t>所示</w:t>
      </w:r>
    </w:p>
    <w:p w14:paraId="347D2C22">
      <w:pPr>
        <w:bidi w:val="0"/>
        <w:ind w:left="0" w:leftChars="0" w:firstLine="0" w:firstLineChars="0"/>
        <w:jc w:val="center"/>
        <w:rPr>
          <w:rFonts w:hint="default"/>
          <w:lang w:eastAsia="zh-CN"/>
        </w:rPr>
      </w:pPr>
      <w:r>
        <w:rPr>
          <w:sz w:val="32"/>
        </w:rPr>
        <mc:AlternateContent>
          <mc:Choice Requires="wps">
            <w:drawing>
              <wp:anchor distT="0" distB="0" distL="114300" distR="114300" simplePos="0" relativeHeight="251661312" behindDoc="0" locked="0" layoutInCell="1" allowOverlap="1">
                <wp:simplePos x="0" y="0"/>
                <wp:positionH relativeFrom="column">
                  <wp:posOffset>5316220</wp:posOffset>
                </wp:positionH>
                <wp:positionV relativeFrom="paragraph">
                  <wp:posOffset>3582035</wp:posOffset>
                </wp:positionV>
                <wp:extent cx="1527175" cy="551180"/>
                <wp:effectExtent l="59055" t="212725" r="71120" b="226695"/>
                <wp:wrapNone/>
                <wp:docPr id="5" name="矩形 5"/>
                <wp:cNvGraphicFramePr/>
                <a:graphic xmlns:a="http://schemas.openxmlformats.org/drawingml/2006/main">
                  <a:graphicData uri="http://schemas.microsoft.com/office/word/2010/wordprocessingShape">
                    <wps:wsp>
                      <wps:cNvSpPr/>
                      <wps:spPr>
                        <a:xfrm rot="960000">
                          <a:off x="6233160" y="4660265"/>
                          <a:ext cx="1527175" cy="551180"/>
                        </a:xfrm>
                        <a:prstGeom prst="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18.6pt;margin-top:282.05pt;height:43.4pt;width:120.25pt;rotation:1048576f;z-index:251661312;v-text-anchor:middle;mso-width-relative:page;mso-height-relative:page;" filled="f" stroked="t" coordsize="21600,21600" o:gfxdata="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BToxUj2wAAAAwBAAAPAAAAAAAAAAEAIAAAACIAAABk&#10;cnMvZG93bnJldi54bWxQSwECFAAUAAAACACHTuJAfXdMknUCAADNBAAADgAAAAAAAAABACAAAAAq&#10;AQAAZHJzL2Uyb0RvYy54bWxQSwUGAAAAAAYABgBZAQAAEQYAAAAA&#10;">
                <v:fill on="f" focussize="0,0"/>
                <v:stroke weight="2pt" color="#FF0000 [2404]" joinstyle="round"/>
                <v:imagedata o:title=""/>
                <o:lock v:ext="edit" aspectratio="f"/>
              </v:rect>
            </w:pict>
          </mc:Fallback>
        </mc:AlternateContent>
      </w:r>
      <w:r>
        <w:rPr>
          <w:sz w:val="32"/>
        </w:rPr>
        <mc:AlternateContent>
          <mc:Choice Requires="wps">
            <w:drawing>
              <wp:anchor distT="0" distB="0" distL="114300" distR="114300" simplePos="0" relativeHeight="251660288" behindDoc="0" locked="0" layoutInCell="1" allowOverlap="1">
                <wp:simplePos x="0" y="0"/>
                <wp:positionH relativeFrom="column">
                  <wp:posOffset>5639435</wp:posOffset>
                </wp:positionH>
                <wp:positionV relativeFrom="paragraph">
                  <wp:posOffset>2124710</wp:posOffset>
                </wp:positionV>
                <wp:extent cx="778510" cy="1412875"/>
                <wp:effectExtent l="192405" t="92710" r="210185" b="94615"/>
                <wp:wrapNone/>
                <wp:docPr id="2" name="矩形 2"/>
                <wp:cNvGraphicFramePr/>
                <a:graphic xmlns:a="http://schemas.openxmlformats.org/drawingml/2006/main">
                  <a:graphicData uri="http://schemas.microsoft.com/office/word/2010/wordprocessingShape">
                    <wps:wsp>
                      <wps:cNvSpPr/>
                      <wps:spPr>
                        <a:xfrm rot="960000">
                          <a:off x="6812280" y="3202305"/>
                          <a:ext cx="778510" cy="1412875"/>
                        </a:xfrm>
                        <a:prstGeom prst="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44.05pt;margin-top:167.3pt;height:111.25pt;width:61.3pt;rotation:1048576f;z-index:251660288;v-text-anchor:middle;mso-width-relative:page;mso-height-relative:page;" filled="f" stroked="t" coordsize="21600,21600" o:gfxdata="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ElSzSvaAAAADAEAAA8AAAAAAAAAAQAgAAAAIgAAAGRycy9k&#10;b3ducmV2LnhtbFBLAQIUABQAAAAIAIdO4kAFFQY9cgIAAM0EAAAOAAAAAAAAAAEAIAAAACkBAABk&#10;cnMvZTJvRG9jLnhtbFBLBQYAAAAABgAGAFkBAAANBgAAAAA=&#10;">
                <v:fill on="f" focussize="0,0"/>
                <v:stroke weight="2pt" color="#FF0000 [2404]" joinstyle="round"/>
                <v:imagedata o:title=""/>
                <o:lock v:ext="edit" aspectratio="f"/>
              </v:rect>
            </w:pict>
          </mc:Fallback>
        </mc:AlternateContent>
      </w:r>
      <w:r>
        <w:rPr>
          <w:sz w:val="32"/>
        </w:rPr>
        <mc:AlternateContent>
          <mc:Choice Requires="wps">
            <w:drawing>
              <wp:anchor distT="0" distB="0" distL="114300" distR="114300" simplePos="0" relativeHeight="251659264" behindDoc="0" locked="0" layoutInCell="1" allowOverlap="1">
                <wp:simplePos x="0" y="0"/>
                <wp:positionH relativeFrom="column">
                  <wp:posOffset>4401820</wp:posOffset>
                </wp:positionH>
                <wp:positionV relativeFrom="paragraph">
                  <wp:posOffset>1835150</wp:posOffset>
                </wp:positionV>
                <wp:extent cx="1341755" cy="897255"/>
                <wp:effectExtent l="110490" t="180340" r="109855" b="198755"/>
                <wp:wrapNone/>
                <wp:docPr id="1" name="矩形 1"/>
                <wp:cNvGraphicFramePr/>
                <a:graphic xmlns:a="http://schemas.openxmlformats.org/drawingml/2006/main">
                  <a:graphicData uri="http://schemas.microsoft.com/office/word/2010/wordprocessingShape">
                    <wps:wsp>
                      <wps:cNvSpPr/>
                      <wps:spPr>
                        <a:xfrm rot="960000">
                          <a:off x="5493385" y="2792095"/>
                          <a:ext cx="1341755" cy="897255"/>
                        </a:xfrm>
                        <a:prstGeom prst="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46.6pt;margin-top:144.5pt;height:70.65pt;width:105.65pt;rotation:1048576f;z-index:251659264;v-text-anchor:middle;mso-width-relative:page;mso-height-relative:page;" filled="f" stroked="t" coordsize="21600,21600" o:gfxdata="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C+OagjaAAAACwEAAA8AAAAAAAAAAQAgAAAAIgAAAGRycy9k&#10;b3ducmV2LnhtbFBLAQIUABQAAAAIAIdO4kDfJN5zcgIAAM0EAAAOAAAAAAAAAAEAIAAAACkBAABk&#10;cnMvZTJvRG9jLnhtbFBLBQYAAAAABgAGAFkBAAANBgAAAAA=&#10;">
                <v:fill on="f" focussize="0,0"/>
                <v:stroke weight="2pt" color="#FF0000 [2404]" joinstyle="round"/>
                <v:imagedata o:title=""/>
                <o:lock v:ext="edit" aspectratio="f"/>
              </v:rect>
            </w:pict>
          </mc:Fallback>
        </mc:AlternateContent>
      </w:r>
      <w:r>
        <w:rPr>
          <w:rFonts w:hint="eastAsia" w:eastAsia="宋体"/>
          <w:lang w:eastAsia="zh-CN"/>
        </w:rPr>
        <w:drawing>
          <wp:inline distT="0" distB="0" distL="114300" distR="114300">
            <wp:extent cx="8009890" cy="4949825"/>
            <wp:effectExtent l="0" t="0" r="10160" b="3175"/>
            <wp:docPr id="4" name="图片 4" descr="总平面定位图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总平面定位图_00"/>
                    <pic:cNvPicPr>
                      <a:picLocks noChangeAspect="1"/>
                    </pic:cNvPicPr>
                  </pic:nvPicPr>
                  <pic:blipFill>
                    <a:blip r:embed="rId12"/>
                    <a:srcRect l="3480" t="3165" r="3666" b="3277"/>
                    <a:stretch>
                      <a:fillRect/>
                    </a:stretch>
                  </pic:blipFill>
                  <pic:spPr>
                    <a:xfrm>
                      <a:off x="0" y="0"/>
                      <a:ext cx="8009890" cy="4949825"/>
                    </a:xfrm>
                    <a:prstGeom prst="rect">
                      <a:avLst/>
                    </a:prstGeom>
                  </pic:spPr>
                </pic:pic>
              </a:graphicData>
            </a:graphic>
          </wp:inline>
        </w:drawing>
      </w:r>
    </w:p>
    <w:p w14:paraId="0D1BAD59">
      <w:pPr>
        <w:pStyle w:val="27"/>
        <w:bidi w:val="0"/>
        <w:rPr>
          <w:rFonts w:hint="default"/>
        </w:rPr>
      </w:pPr>
      <w:r>
        <w:rPr>
          <w:rFonts w:hint="default"/>
        </w:rPr>
        <w:t>图2-</w:t>
      </w:r>
      <w:r>
        <w:rPr>
          <w:rFonts w:hint="eastAsia"/>
          <w:lang w:val="en-US" w:eastAsia="zh-CN"/>
        </w:rPr>
        <w:t xml:space="preserve">3 </w:t>
      </w:r>
      <w:r>
        <w:rPr>
          <w:rFonts w:hint="default"/>
        </w:rPr>
        <w:t>厂区布置图</w:t>
      </w:r>
    </w:p>
    <w:p w14:paraId="46815EF0">
      <w:pPr>
        <w:spacing w:line="360" w:lineRule="auto"/>
        <w:ind w:firstLine="480" w:firstLineChars="200"/>
        <w:rPr>
          <w:rFonts w:hint="default" w:ascii="Times New Roman" w:hAnsi="Times New Roman" w:eastAsia="宋体" w:cs="Times New Roman"/>
          <w:sz w:val="24"/>
          <w:szCs w:val="24"/>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720" w:num="1"/>
          <w:docGrid w:type="lines" w:linePitch="312" w:charSpace="0"/>
        </w:sectPr>
      </w:pPr>
    </w:p>
    <w:p w14:paraId="25EAD9E5">
      <w:pPr>
        <w:bidi w:val="0"/>
        <w:rPr>
          <w:rFonts w:hint="default"/>
        </w:rPr>
      </w:pPr>
      <w:r>
        <w:rPr>
          <w:rFonts w:hint="eastAsia"/>
          <w:lang w:eastAsia="zh-CN"/>
        </w:rPr>
        <w:t>铜陵有色金翔物资有限责任公司</w:t>
      </w:r>
      <w:r>
        <w:rPr>
          <w:rFonts w:hint="default"/>
        </w:rPr>
        <w:t>的主要能源流向简图如图2-</w:t>
      </w:r>
      <w:r>
        <w:rPr>
          <w:rFonts w:hint="eastAsia"/>
          <w:lang w:val="en-US" w:eastAsia="zh-CN"/>
        </w:rPr>
        <w:t>4</w:t>
      </w:r>
      <w:r>
        <w:rPr>
          <w:rFonts w:hint="default"/>
        </w:rPr>
        <w:t>所示。</w:t>
      </w:r>
    </w:p>
    <w:p w14:paraId="2B15B9A6">
      <w:pPr>
        <w:spacing w:line="360" w:lineRule="auto"/>
        <w:jc w:val="center"/>
        <w:rPr>
          <w:rFonts w:hint="default" w:ascii="Times New Roman" w:hAnsi="Times New Roman" w:cs="Times New Roman"/>
        </w:rPr>
      </w:pPr>
      <w:r>
        <w:rPr>
          <w:rFonts w:hint="default" w:ascii="Times New Roman" w:hAnsi="Times New Roman" w:cs="Times New Roman"/>
        </w:rPr>
        <w:object>
          <v:shape id="_x0000_i1025" o:spt="75" type="#_x0000_t75" style="height:199.4pt;width:379pt;" o:ole="t" filled="f" o:preferrelative="t" stroked="f" coordsize="21600,21600">
            <v:path/>
            <v:fill on="f" focussize="0,0"/>
            <v:stroke on="f"/>
            <v:imagedata r:id="rId14" o:title=""/>
            <o:lock v:ext="edit" aspectratio="t"/>
            <w10:wrap type="none"/>
            <w10:anchorlock/>
          </v:shape>
          <o:OLEObject Type="Embed" ProgID="Visio.Drawing.15" ShapeID="_x0000_i1025" DrawAspect="Content" ObjectID="_1468075725" r:id="rId13">
            <o:LockedField>false</o:LockedField>
          </o:OLEObject>
        </w:object>
      </w:r>
    </w:p>
    <w:p w14:paraId="5C98E564">
      <w:pPr>
        <w:pStyle w:val="27"/>
        <w:bidi w:val="0"/>
        <w:rPr>
          <w:rFonts w:hint="default"/>
        </w:rPr>
      </w:pPr>
      <w:r>
        <w:rPr>
          <w:rFonts w:hint="default"/>
        </w:rPr>
        <w:t>图2-</w:t>
      </w:r>
      <w:r>
        <w:rPr>
          <w:rFonts w:hint="eastAsia"/>
          <w:lang w:val="en-US" w:eastAsia="zh-CN"/>
        </w:rPr>
        <w:t>4</w:t>
      </w:r>
      <w:r>
        <w:rPr>
          <w:rFonts w:hint="default"/>
        </w:rPr>
        <w:t xml:space="preserve"> 能源流向简图</w:t>
      </w:r>
    </w:p>
    <w:p w14:paraId="014297F3">
      <w:pPr>
        <w:bidi w:val="0"/>
        <w:rPr>
          <w:rFonts w:hint="default"/>
        </w:rPr>
      </w:pPr>
      <w:r>
        <w:rPr>
          <w:rFonts w:hint="default"/>
        </w:rPr>
        <w:t>根据各生</w:t>
      </w:r>
      <w:r>
        <w:rPr>
          <w:rFonts w:hint="default" w:ascii="Times New Roman" w:hAnsi="Times New Roman"/>
        </w:rPr>
        <w:t>产工艺流程图，企业主要外购原料为</w:t>
      </w:r>
      <w:r>
        <w:rPr>
          <w:rFonts w:hint="eastAsia"/>
          <w:lang w:val="en-US" w:eastAsia="zh-CN"/>
        </w:rPr>
        <w:t>废钢</w:t>
      </w:r>
      <w:r>
        <w:rPr>
          <w:rFonts w:hint="default" w:ascii="Times New Roman" w:hAnsi="Times New Roman"/>
        </w:rPr>
        <w:t>，企业</w:t>
      </w:r>
      <w:r>
        <w:rPr>
          <w:rFonts w:hint="default"/>
        </w:rPr>
        <w:t>生产过程主要消耗电力</w:t>
      </w:r>
      <w:r>
        <w:rPr>
          <w:rFonts w:hint="eastAsia"/>
          <w:lang w:val="en-US" w:eastAsia="zh-CN"/>
        </w:rPr>
        <w:t>和柴油</w:t>
      </w:r>
      <w:r>
        <w:rPr>
          <w:rFonts w:hint="default"/>
        </w:rPr>
        <w:t>等。</w:t>
      </w:r>
    </w:p>
    <w:p w14:paraId="4E86704D">
      <w:pPr>
        <w:bidi w:val="0"/>
        <w:rPr>
          <w:rFonts w:hint="default"/>
          <w:b/>
          <w:bCs/>
        </w:rPr>
      </w:pPr>
      <w:r>
        <w:rPr>
          <w:rFonts w:hint="default"/>
          <w:b/>
          <w:bCs/>
        </w:rPr>
        <w:t>2、排放源识别</w:t>
      </w:r>
    </w:p>
    <w:p w14:paraId="4A39BDE4">
      <w:pPr>
        <w:bidi w:val="0"/>
        <w:rPr>
          <w:rFonts w:hint="default"/>
        </w:rPr>
      </w:pPr>
      <w:r>
        <w:rPr>
          <w:rFonts w:hint="default"/>
        </w:rPr>
        <w:t>根据企业生产工艺，报告主体识别了电力（华东地区电网）</w:t>
      </w:r>
      <w:r>
        <w:rPr>
          <w:rFonts w:hint="eastAsia"/>
          <w:lang w:val="en-US" w:eastAsia="zh-CN"/>
        </w:rPr>
        <w:t>和柴油2</w:t>
      </w:r>
      <w:r>
        <w:rPr>
          <w:rFonts w:hint="default"/>
        </w:rPr>
        <w:t>个识别项。</w:t>
      </w:r>
    </w:p>
    <w:p w14:paraId="51B3D037">
      <w:pPr>
        <w:spacing w:line="360" w:lineRule="auto"/>
        <w:ind w:firstLine="480" w:firstLineChars="200"/>
        <w:jc w:val="left"/>
        <w:rPr>
          <w:rFonts w:hint="default" w:ascii="Times New Roman" w:hAnsi="Times New Roman" w:eastAsia="宋体" w:cs="Times New Roman"/>
          <w:sz w:val="24"/>
          <w:szCs w:val="24"/>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3C497723">
      <w:pPr>
        <w:pStyle w:val="2"/>
        <w:bidi w:val="0"/>
        <w:rPr>
          <w:rFonts w:hint="eastAsia" w:eastAsia="黑体"/>
          <w:lang w:val="en-US" w:eastAsia="zh-CN"/>
        </w:rPr>
      </w:pPr>
      <w:bookmarkStart w:id="12" w:name="_Toc14895"/>
      <w:bookmarkStart w:id="13" w:name="_Toc30403"/>
      <w:r>
        <w:rPr>
          <w:rFonts w:hint="default"/>
        </w:rPr>
        <w:t>3  温室气体排放</w:t>
      </w:r>
      <w:bookmarkEnd w:id="12"/>
      <w:r>
        <w:rPr>
          <w:rFonts w:hint="eastAsia"/>
          <w:lang w:val="en-US" w:eastAsia="zh-CN"/>
        </w:rPr>
        <w:t>情况</w:t>
      </w:r>
      <w:bookmarkEnd w:id="13"/>
    </w:p>
    <w:p w14:paraId="59ED4251">
      <w:pPr>
        <w:pStyle w:val="3"/>
        <w:bidi w:val="0"/>
        <w:rPr>
          <w:rFonts w:hint="default"/>
        </w:rPr>
      </w:pPr>
      <w:bookmarkStart w:id="14" w:name="_Toc6292"/>
      <w:bookmarkStart w:id="15" w:name="_Toc24498"/>
      <w:r>
        <w:rPr>
          <w:rFonts w:hint="default"/>
        </w:rPr>
        <w:t>3.1 各排放源分项计算</w:t>
      </w:r>
      <w:bookmarkEnd w:id="14"/>
      <w:bookmarkEnd w:id="15"/>
    </w:p>
    <w:p w14:paraId="70BE75A7">
      <w:pPr>
        <w:bidi w:val="0"/>
        <w:rPr>
          <w:rFonts w:hint="default"/>
        </w:rPr>
      </w:pPr>
      <w:r>
        <w:rPr>
          <w:rFonts w:hint="default"/>
        </w:rPr>
        <w:t>报告主体在生产过程中消耗电力</w:t>
      </w:r>
      <w:r>
        <w:rPr>
          <w:rFonts w:hint="eastAsia"/>
          <w:lang w:val="en-US" w:eastAsia="zh-CN"/>
        </w:rPr>
        <w:t>和柴油</w:t>
      </w:r>
      <w:r>
        <w:rPr>
          <w:rFonts w:hint="default"/>
        </w:rPr>
        <w:t>，根据企业实际采购的结算凭证，并根据《2019年度减排项目中国区域电网基准线排放因子》和《工业其他行业企业温室气体排放核算方法与报告指南（试行）》（发改办气候〔2015〕1722号），在核算单元划分、碳源流及排放源识别的基础上，报告主体核算并报告了各核算单元的温室气体排放量以及其下各排放源的排放量，报告主体202</w:t>
      </w:r>
      <w:r>
        <w:rPr>
          <w:rFonts w:hint="eastAsia"/>
          <w:lang w:val="en-US" w:eastAsia="zh-CN"/>
        </w:rPr>
        <w:t>4</w:t>
      </w:r>
      <w:r>
        <w:rPr>
          <w:rFonts w:hint="default"/>
        </w:rPr>
        <w:t>年度温室气体排放总量如下。</w:t>
      </w:r>
    </w:p>
    <w:p w14:paraId="28502327">
      <w:pPr>
        <w:spacing w:line="360" w:lineRule="auto"/>
        <w:ind w:firstLine="480" w:firstLineChars="200"/>
        <w:rPr>
          <w:rFonts w:hint="default" w:ascii="Times New Roman" w:hAnsi="Times New Roman" w:eastAsia="宋体" w:cs="Times New Roman"/>
          <w:sz w:val="24"/>
          <w:szCs w:val="24"/>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2193E558">
      <w:pPr>
        <w:pStyle w:val="28"/>
        <w:bidi w:val="0"/>
        <w:rPr>
          <w:rFonts w:hint="default"/>
        </w:rPr>
      </w:pPr>
      <w:r>
        <w:rPr>
          <w:rFonts w:hint="default"/>
        </w:rPr>
        <w:t>表3-1  固定源化石燃料燃烧排放数据表</w:t>
      </w:r>
    </w:p>
    <w:tbl>
      <w:tblPr>
        <w:tblStyle w:val="12"/>
        <w:tblW w:w="4999" w:type="pct"/>
        <w:tblInd w:w="0" w:type="dxa"/>
        <w:tblLayout w:type="autofit"/>
        <w:tblCellMar>
          <w:top w:w="0" w:type="dxa"/>
          <w:left w:w="108" w:type="dxa"/>
          <w:bottom w:w="0" w:type="dxa"/>
          <w:right w:w="108" w:type="dxa"/>
        </w:tblCellMar>
      </w:tblPr>
      <w:tblGrid>
        <w:gridCol w:w="1933"/>
        <w:gridCol w:w="1922"/>
        <w:gridCol w:w="2472"/>
        <w:gridCol w:w="3115"/>
        <w:gridCol w:w="2401"/>
        <w:gridCol w:w="2328"/>
      </w:tblGrid>
      <w:tr w14:paraId="456192D6">
        <w:tblPrEx>
          <w:tblCellMar>
            <w:top w:w="0" w:type="dxa"/>
            <w:left w:w="108" w:type="dxa"/>
            <w:bottom w:w="0" w:type="dxa"/>
            <w:right w:w="108" w:type="dxa"/>
          </w:tblCellMar>
        </w:tblPrEx>
        <w:trPr>
          <w:trHeight w:val="330" w:hRule="atLeast"/>
        </w:trPr>
        <w:tc>
          <w:tcPr>
            <w:tcW w:w="4178" w:type="pct"/>
            <w:gridSpan w:val="5"/>
            <w:tcBorders>
              <w:top w:val="single" w:color="auto" w:sz="8" w:space="0"/>
              <w:left w:val="single" w:color="auto" w:sz="8" w:space="0"/>
              <w:bottom w:val="single" w:color="auto" w:sz="8" w:space="0"/>
              <w:right w:val="single" w:color="000000" w:sz="8" w:space="0"/>
            </w:tcBorders>
            <w:noWrap w:val="0"/>
            <w:vAlign w:val="center"/>
          </w:tcPr>
          <w:p w14:paraId="494F442E">
            <w:pPr>
              <w:widowControl/>
              <w:snapToGrid w:val="0"/>
              <w:spacing w:line="360" w:lineRule="auto"/>
              <w:ind w:left="0" w:leftChars="0" w:firstLine="0" w:firstLineChars="0"/>
              <w:jc w:val="left"/>
              <w:rPr>
                <w:rFonts w:hint="default" w:ascii="Times New Roman" w:hAnsi="Times New Roman" w:eastAsia="宋体" w:cs="Times New Roman"/>
                <w:color w:val="000000"/>
                <w:kern w:val="0"/>
                <w:sz w:val="24"/>
                <w:szCs w:val="24"/>
                <w:lang w:eastAsia="zh-CN"/>
              </w:rPr>
            </w:pPr>
            <w:r>
              <w:rPr>
                <w:rFonts w:hint="default" w:ascii="Times New Roman" w:hAnsi="Times New Roman" w:eastAsia="宋体" w:cs="Times New Roman"/>
                <w:color w:val="000000"/>
                <w:kern w:val="0"/>
                <w:sz w:val="24"/>
                <w:szCs w:val="24"/>
              </w:rPr>
              <w:t>报告主体名称：</w:t>
            </w:r>
            <w:r>
              <w:rPr>
                <w:rFonts w:hint="eastAsia" w:eastAsia="宋体" w:cs="Times New Roman"/>
                <w:color w:val="000000"/>
                <w:kern w:val="0"/>
                <w:sz w:val="24"/>
                <w:szCs w:val="24"/>
                <w:lang w:eastAsia="zh-CN"/>
              </w:rPr>
              <w:t>铜陵有色金翔物资有限责任公司</w:t>
            </w:r>
          </w:p>
        </w:tc>
        <w:tc>
          <w:tcPr>
            <w:tcW w:w="821" w:type="pct"/>
            <w:tcBorders>
              <w:top w:val="single" w:color="auto" w:sz="8" w:space="0"/>
              <w:left w:val="nil"/>
              <w:bottom w:val="single" w:color="auto" w:sz="8" w:space="0"/>
              <w:right w:val="single" w:color="auto" w:sz="8" w:space="0"/>
            </w:tcBorders>
            <w:noWrap w:val="0"/>
            <w:vAlign w:val="center"/>
          </w:tcPr>
          <w:p w14:paraId="2DD4A4BD">
            <w:pPr>
              <w:widowControl/>
              <w:snapToGrid w:val="0"/>
              <w:spacing w:line="360" w:lineRule="auto"/>
              <w:ind w:left="0" w:leftChars="0" w:firstLine="0" w:firstLineChars="0"/>
              <w:jc w:val="center"/>
              <w:rPr>
                <w:rFonts w:hint="eastAsia" w:ascii="Times New Roman" w:hAnsi="Times New Roman" w:eastAsia="宋体" w:cs="Times New Roman"/>
                <w:color w:val="000000"/>
                <w:kern w:val="0"/>
                <w:sz w:val="24"/>
                <w:szCs w:val="24"/>
                <w:lang w:val="en-US" w:eastAsia="zh-CN"/>
              </w:rPr>
            </w:pPr>
            <w:r>
              <w:rPr>
                <w:rFonts w:hint="default" w:ascii="Times New Roman" w:hAnsi="Times New Roman" w:eastAsia="宋体" w:cs="Times New Roman"/>
                <w:color w:val="000000"/>
                <w:kern w:val="0"/>
                <w:sz w:val="24"/>
                <w:szCs w:val="24"/>
              </w:rPr>
              <w:t>年度：202</w:t>
            </w:r>
            <w:r>
              <w:rPr>
                <w:rFonts w:hint="eastAsia" w:ascii="Times New Roman" w:hAnsi="Times New Roman" w:eastAsia="宋体" w:cs="Times New Roman"/>
                <w:color w:val="000000"/>
                <w:kern w:val="0"/>
                <w:sz w:val="24"/>
                <w:szCs w:val="24"/>
                <w:lang w:val="en-US" w:eastAsia="zh-CN"/>
              </w:rPr>
              <w:t>4</w:t>
            </w:r>
          </w:p>
        </w:tc>
      </w:tr>
      <w:tr w14:paraId="5C501C23">
        <w:tblPrEx>
          <w:tblCellMar>
            <w:top w:w="0" w:type="dxa"/>
            <w:left w:w="108" w:type="dxa"/>
            <w:bottom w:w="0" w:type="dxa"/>
            <w:right w:w="108" w:type="dxa"/>
          </w:tblCellMar>
        </w:tblPrEx>
        <w:trPr>
          <w:trHeight w:val="300" w:hRule="atLeast"/>
        </w:trPr>
        <w:tc>
          <w:tcPr>
            <w:tcW w:w="682" w:type="pct"/>
            <w:tcBorders>
              <w:top w:val="nil"/>
              <w:left w:val="single" w:color="auto" w:sz="8" w:space="0"/>
              <w:bottom w:val="single" w:color="000000" w:sz="8" w:space="0"/>
              <w:right w:val="single" w:color="auto" w:sz="8" w:space="0"/>
            </w:tcBorders>
            <w:noWrap w:val="0"/>
            <w:vAlign w:val="center"/>
          </w:tcPr>
          <w:p w14:paraId="2F6AC2F6">
            <w:pPr>
              <w:widowControl/>
              <w:snapToGrid w:val="0"/>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燃料品种</w:t>
            </w:r>
          </w:p>
        </w:tc>
        <w:tc>
          <w:tcPr>
            <w:tcW w:w="678" w:type="pct"/>
            <w:tcBorders>
              <w:top w:val="nil"/>
              <w:left w:val="single" w:color="auto" w:sz="8" w:space="0"/>
              <w:bottom w:val="single" w:color="000000" w:sz="8" w:space="0"/>
              <w:right w:val="single" w:color="auto" w:sz="8" w:space="0"/>
            </w:tcBorders>
            <w:noWrap w:val="0"/>
            <w:vAlign w:val="center"/>
          </w:tcPr>
          <w:p w14:paraId="7B59BBBB">
            <w:pPr>
              <w:widowControl/>
              <w:snapToGrid w:val="0"/>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消耗量</w:t>
            </w:r>
          </w:p>
          <w:p w14:paraId="1BE6EDEB">
            <w:pPr>
              <w:widowControl/>
              <w:snapToGrid w:val="0"/>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(10</w:t>
            </w:r>
            <w:r>
              <w:rPr>
                <w:rFonts w:hint="default" w:ascii="Times New Roman" w:hAnsi="Times New Roman" w:eastAsia="宋体" w:cs="Times New Roman"/>
                <w:color w:val="000000"/>
                <w:kern w:val="0"/>
                <w:sz w:val="24"/>
                <w:szCs w:val="24"/>
                <w:vertAlign w:val="superscript"/>
              </w:rPr>
              <w:t xml:space="preserve">4 </w:t>
            </w:r>
            <w:r>
              <w:rPr>
                <w:rFonts w:hint="default" w:ascii="Times New Roman" w:hAnsi="Times New Roman" w:eastAsia="宋体" w:cs="Times New Roman"/>
                <w:color w:val="000000"/>
                <w:kern w:val="0"/>
                <w:sz w:val="24"/>
                <w:szCs w:val="24"/>
              </w:rPr>
              <w:t>Nm</w:t>
            </w:r>
            <w:r>
              <w:rPr>
                <w:rFonts w:hint="default" w:ascii="Times New Roman" w:hAnsi="Times New Roman" w:eastAsia="宋体" w:cs="Times New Roman"/>
                <w:color w:val="000000"/>
                <w:kern w:val="0"/>
                <w:sz w:val="24"/>
                <w:szCs w:val="24"/>
                <w:vertAlign w:val="superscript"/>
              </w:rPr>
              <w:t>3</w:t>
            </w:r>
            <w:r>
              <w:rPr>
                <w:rFonts w:hint="default" w:ascii="Times New Roman" w:hAnsi="Times New Roman" w:eastAsia="宋体" w:cs="Times New Roman"/>
                <w:color w:val="000000"/>
                <w:kern w:val="0"/>
                <w:sz w:val="24"/>
                <w:szCs w:val="24"/>
              </w:rPr>
              <w:t>)</w:t>
            </w:r>
          </w:p>
        </w:tc>
        <w:tc>
          <w:tcPr>
            <w:tcW w:w="872" w:type="pct"/>
            <w:tcBorders>
              <w:top w:val="nil"/>
              <w:left w:val="single" w:color="auto" w:sz="8" w:space="0"/>
              <w:bottom w:val="single" w:color="000000" w:sz="8" w:space="0"/>
              <w:right w:val="single" w:color="auto" w:sz="8" w:space="0"/>
            </w:tcBorders>
            <w:noWrap w:val="0"/>
            <w:vAlign w:val="center"/>
          </w:tcPr>
          <w:p w14:paraId="213C1D92">
            <w:pPr>
              <w:widowControl/>
              <w:snapToGrid w:val="0"/>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低位发热量</w:t>
            </w:r>
          </w:p>
          <w:p w14:paraId="6F0742DC">
            <w:pPr>
              <w:widowControl/>
              <w:snapToGrid w:val="0"/>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(GJ/10</w:t>
            </w:r>
            <w:r>
              <w:rPr>
                <w:rFonts w:hint="default" w:ascii="Times New Roman" w:hAnsi="Times New Roman" w:eastAsia="宋体" w:cs="Times New Roman"/>
                <w:color w:val="000000"/>
                <w:kern w:val="0"/>
                <w:sz w:val="24"/>
                <w:szCs w:val="24"/>
                <w:vertAlign w:val="superscript"/>
              </w:rPr>
              <w:t xml:space="preserve">4 </w:t>
            </w:r>
            <w:r>
              <w:rPr>
                <w:rFonts w:hint="default" w:ascii="Times New Roman" w:hAnsi="Times New Roman" w:eastAsia="宋体" w:cs="Times New Roman"/>
                <w:color w:val="000000"/>
                <w:kern w:val="0"/>
                <w:sz w:val="24"/>
                <w:szCs w:val="24"/>
              </w:rPr>
              <w:t>Nm</w:t>
            </w:r>
            <w:r>
              <w:rPr>
                <w:rFonts w:hint="default" w:ascii="Times New Roman" w:hAnsi="Times New Roman" w:eastAsia="宋体" w:cs="Times New Roman"/>
                <w:color w:val="000000"/>
                <w:kern w:val="0"/>
                <w:sz w:val="24"/>
                <w:szCs w:val="24"/>
                <w:vertAlign w:val="superscript"/>
              </w:rPr>
              <w:t>3</w:t>
            </w:r>
            <w:r>
              <w:rPr>
                <w:rFonts w:hint="default" w:ascii="Times New Roman" w:hAnsi="Times New Roman" w:eastAsia="宋体" w:cs="Times New Roman"/>
                <w:color w:val="000000"/>
                <w:kern w:val="0"/>
                <w:sz w:val="24"/>
                <w:szCs w:val="24"/>
              </w:rPr>
              <w:t>)</w:t>
            </w:r>
          </w:p>
        </w:tc>
        <w:tc>
          <w:tcPr>
            <w:tcW w:w="1099" w:type="pct"/>
            <w:tcBorders>
              <w:top w:val="nil"/>
              <w:left w:val="single" w:color="auto" w:sz="8" w:space="0"/>
              <w:bottom w:val="single" w:color="000000" w:sz="8" w:space="0"/>
              <w:right w:val="single" w:color="auto" w:sz="8" w:space="0"/>
            </w:tcBorders>
            <w:noWrap w:val="0"/>
            <w:vAlign w:val="center"/>
          </w:tcPr>
          <w:p w14:paraId="5B55B99B">
            <w:pPr>
              <w:widowControl/>
              <w:snapToGrid w:val="0"/>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单位热值含碳量</w:t>
            </w:r>
          </w:p>
          <w:p w14:paraId="7DD1467C">
            <w:pPr>
              <w:widowControl/>
              <w:snapToGrid w:val="0"/>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(t C/GJ)</w:t>
            </w:r>
          </w:p>
        </w:tc>
        <w:tc>
          <w:tcPr>
            <w:tcW w:w="845" w:type="pct"/>
            <w:tcBorders>
              <w:top w:val="nil"/>
              <w:left w:val="single" w:color="auto" w:sz="8" w:space="0"/>
              <w:bottom w:val="single" w:color="000000" w:sz="8" w:space="0"/>
              <w:right w:val="single" w:color="auto" w:sz="8" w:space="0"/>
            </w:tcBorders>
            <w:noWrap w:val="0"/>
            <w:vAlign w:val="center"/>
          </w:tcPr>
          <w:p w14:paraId="283A6865">
            <w:pPr>
              <w:widowControl/>
              <w:snapToGrid w:val="0"/>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碳氧化率</w:t>
            </w:r>
          </w:p>
          <w:p w14:paraId="41804567">
            <w:pPr>
              <w:widowControl/>
              <w:snapToGrid w:val="0"/>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(百分比(%))</w:t>
            </w:r>
          </w:p>
        </w:tc>
        <w:tc>
          <w:tcPr>
            <w:tcW w:w="821" w:type="pct"/>
            <w:tcBorders>
              <w:top w:val="nil"/>
              <w:left w:val="single" w:color="auto" w:sz="8" w:space="0"/>
              <w:bottom w:val="single" w:color="000000" w:sz="8" w:space="0"/>
              <w:right w:val="single" w:color="auto" w:sz="8" w:space="0"/>
            </w:tcBorders>
            <w:noWrap w:val="0"/>
            <w:vAlign w:val="center"/>
          </w:tcPr>
          <w:p w14:paraId="7B38A240">
            <w:pPr>
              <w:widowControl/>
              <w:snapToGrid w:val="0"/>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CO</w:t>
            </w:r>
            <w:r>
              <w:rPr>
                <w:rFonts w:hint="default" w:ascii="Times New Roman" w:hAnsi="Times New Roman" w:eastAsia="宋体" w:cs="Times New Roman"/>
                <w:color w:val="000000"/>
                <w:kern w:val="0"/>
                <w:sz w:val="24"/>
                <w:szCs w:val="24"/>
                <w:vertAlign w:val="subscript"/>
              </w:rPr>
              <w:t>2</w:t>
            </w:r>
            <w:r>
              <w:rPr>
                <w:rFonts w:hint="default" w:ascii="Times New Roman" w:hAnsi="Times New Roman" w:eastAsia="宋体" w:cs="Times New Roman"/>
                <w:color w:val="000000"/>
                <w:kern w:val="0"/>
                <w:sz w:val="24"/>
                <w:szCs w:val="24"/>
              </w:rPr>
              <w:t>排放量</w:t>
            </w:r>
          </w:p>
          <w:p w14:paraId="3E2B97B8">
            <w:pPr>
              <w:widowControl/>
              <w:snapToGrid w:val="0"/>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（t CO</w:t>
            </w:r>
            <w:r>
              <w:rPr>
                <w:rFonts w:hint="default" w:ascii="Times New Roman" w:hAnsi="Times New Roman" w:eastAsia="宋体" w:cs="Times New Roman"/>
                <w:color w:val="000000"/>
                <w:kern w:val="0"/>
                <w:sz w:val="24"/>
                <w:szCs w:val="24"/>
                <w:vertAlign w:val="subscript"/>
              </w:rPr>
              <w:t>2</w:t>
            </w:r>
            <w:r>
              <w:rPr>
                <w:rFonts w:hint="default" w:ascii="Times New Roman" w:hAnsi="Times New Roman" w:eastAsia="宋体" w:cs="Times New Roman"/>
                <w:color w:val="000000"/>
                <w:kern w:val="0"/>
                <w:sz w:val="24"/>
                <w:szCs w:val="24"/>
              </w:rPr>
              <w:t>）</w:t>
            </w:r>
          </w:p>
        </w:tc>
      </w:tr>
      <w:tr w14:paraId="6DD61FDD">
        <w:tblPrEx>
          <w:tblCellMar>
            <w:top w:w="0" w:type="dxa"/>
            <w:left w:w="108" w:type="dxa"/>
            <w:bottom w:w="0" w:type="dxa"/>
            <w:right w:w="108" w:type="dxa"/>
          </w:tblCellMar>
        </w:tblPrEx>
        <w:trPr>
          <w:trHeight w:val="90" w:hRule="atLeast"/>
        </w:trPr>
        <w:tc>
          <w:tcPr>
            <w:tcW w:w="682" w:type="pct"/>
            <w:tcBorders>
              <w:top w:val="nil"/>
              <w:left w:val="single" w:color="auto" w:sz="8" w:space="0"/>
              <w:bottom w:val="single" w:color="auto" w:sz="8" w:space="0"/>
              <w:right w:val="single" w:color="auto" w:sz="8" w:space="0"/>
            </w:tcBorders>
            <w:noWrap w:val="0"/>
            <w:vAlign w:val="center"/>
          </w:tcPr>
          <w:p w14:paraId="6174994D">
            <w:pPr>
              <w:widowControl/>
              <w:snapToGrid w:val="0"/>
              <w:spacing w:line="360" w:lineRule="auto"/>
              <w:ind w:left="0" w:leftChars="0" w:firstLine="0" w:firstLineChars="0"/>
              <w:jc w:val="center"/>
              <w:rPr>
                <w:rFonts w:hint="default"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柴油</w:t>
            </w:r>
          </w:p>
        </w:tc>
        <w:tc>
          <w:tcPr>
            <w:tcW w:w="678" w:type="pct"/>
            <w:tcBorders>
              <w:top w:val="nil"/>
              <w:left w:val="nil"/>
              <w:bottom w:val="single" w:color="auto" w:sz="8" w:space="0"/>
              <w:right w:val="single" w:color="auto" w:sz="8" w:space="0"/>
            </w:tcBorders>
            <w:shd w:val="clear" w:color="auto" w:fill="auto"/>
            <w:noWrap w:val="0"/>
            <w:vAlign w:val="center"/>
          </w:tcPr>
          <w:p w14:paraId="0BE30311">
            <w:pPr>
              <w:widowControl/>
              <w:snapToGrid w:val="0"/>
              <w:spacing w:line="360" w:lineRule="auto"/>
              <w:ind w:left="0" w:leftChars="0" w:firstLine="0" w:firstLineChars="0"/>
              <w:jc w:val="center"/>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0.0054</w:t>
            </w:r>
          </w:p>
        </w:tc>
        <w:tc>
          <w:tcPr>
            <w:tcW w:w="872" w:type="pct"/>
            <w:tcBorders>
              <w:top w:val="nil"/>
              <w:left w:val="nil"/>
              <w:bottom w:val="single" w:color="auto" w:sz="8" w:space="0"/>
              <w:right w:val="single" w:color="auto" w:sz="8" w:space="0"/>
            </w:tcBorders>
            <w:shd w:val="clear" w:color="auto" w:fill="auto"/>
            <w:noWrap w:val="0"/>
            <w:vAlign w:val="center"/>
          </w:tcPr>
          <w:p w14:paraId="395176C1">
            <w:pPr>
              <w:widowControl/>
              <w:snapToGrid w:val="0"/>
              <w:spacing w:line="360" w:lineRule="auto"/>
              <w:ind w:left="0" w:leftChars="0" w:firstLine="0" w:firstLineChars="0"/>
              <w:jc w:val="center"/>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43.33</w:t>
            </w:r>
          </w:p>
        </w:tc>
        <w:tc>
          <w:tcPr>
            <w:tcW w:w="1099" w:type="pct"/>
            <w:tcBorders>
              <w:top w:val="nil"/>
              <w:left w:val="nil"/>
              <w:bottom w:val="single" w:color="auto" w:sz="8" w:space="0"/>
              <w:right w:val="single" w:color="auto" w:sz="8" w:space="0"/>
            </w:tcBorders>
            <w:shd w:val="clear" w:color="auto" w:fill="auto"/>
            <w:noWrap w:val="0"/>
            <w:vAlign w:val="center"/>
          </w:tcPr>
          <w:p w14:paraId="1EA9C8C0">
            <w:pPr>
              <w:widowControl/>
              <w:snapToGrid w:val="0"/>
              <w:spacing w:line="360" w:lineRule="auto"/>
              <w:ind w:left="0" w:leftChars="0" w:firstLine="0" w:firstLineChars="0"/>
              <w:jc w:val="center"/>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20.20</w:t>
            </w:r>
            <w:r>
              <w:rPr>
                <w:rFonts w:hint="eastAsia" w:ascii="Times New Roman" w:hAnsi="Times New Roman" w:cs="Times New Roman"/>
                <w:color w:val="000000"/>
                <w:sz w:val="24"/>
                <w:szCs w:val="24"/>
                <w:lang w:val="en-US" w:eastAsia="zh-CN"/>
              </w:rPr>
              <w:t>×</w:t>
            </w:r>
            <w:r>
              <w:rPr>
                <w:rFonts w:hint="default" w:ascii="Times New Roman" w:hAnsi="Times New Roman" w:cs="Times New Roman"/>
                <w:color w:val="000000"/>
                <w:sz w:val="24"/>
                <w:szCs w:val="24"/>
                <w:lang w:val="en-US" w:eastAsia="zh-CN"/>
              </w:rPr>
              <w:t>10-3</w:t>
            </w:r>
          </w:p>
        </w:tc>
        <w:tc>
          <w:tcPr>
            <w:tcW w:w="845" w:type="pct"/>
            <w:tcBorders>
              <w:top w:val="nil"/>
              <w:left w:val="nil"/>
              <w:bottom w:val="single" w:color="auto" w:sz="8" w:space="0"/>
              <w:right w:val="single" w:color="auto" w:sz="8" w:space="0"/>
            </w:tcBorders>
            <w:shd w:val="clear" w:color="auto" w:fill="auto"/>
            <w:noWrap w:val="0"/>
            <w:vAlign w:val="center"/>
          </w:tcPr>
          <w:p w14:paraId="0DD72081">
            <w:pPr>
              <w:widowControl/>
              <w:snapToGrid w:val="0"/>
              <w:spacing w:line="360" w:lineRule="auto"/>
              <w:ind w:left="0" w:leftChars="0" w:firstLine="0" w:firstLineChars="0"/>
              <w:jc w:val="center"/>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98</w:t>
            </w:r>
          </w:p>
        </w:tc>
        <w:tc>
          <w:tcPr>
            <w:tcW w:w="821" w:type="pct"/>
            <w:tcBorders>
              <w:top w:val="nil"/>
              <w:left w:val="nil"/>
              <w:bottom w:val="single" w:color="auto" w:sz="8" w:space="0"/>
              <w:right w:val="single" w:color="auto" w:sz="8" w:space="0"/>
            </w:tcBorders>
            <w:shd w:val="clear" w:color="auto" w:fill="auto"/>
            <w:noWrap w:val="0"/>
            <w:vAlign w:val="center"/>
          </w:tcPr>
          <w:p w14:paraId="5A0A09CE">
            <w:pPr>
              <w:widowControl/>
              <w:snapToGrid w:val="0"/>
              <w:spacing w:line="360" w:lineRule="auto"/>
              <w:ind w:left="0" w:leftChars="0" w:firstLine="0" w:firstLineChars="0"/>
              <w:jc w:val="center"/>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0.0170</w:t>
            </w:r>
          </w:p>
        </w:tc>
      </w:tr>
      <w:tr w14:paraId="3016A3F9">
        <w:tblPrEx>
          <w:tblCellMar>
            <w:top w:w="0" w:type="dxa"/>
            <w:left w:w="108" w:type="dxa"/>
            <w:bottom w:w="0" w:type="dxa"/>
            <w:right w:w="108" w:type="dxa"/>
          </w:tblCellMar>
        </w:tblPrEx>
        <w:trPr>
          <w:trHeight w:val="330" w:hRule="atLeast"/>
        </w:trPr>
        <w:tc>
          <w:tcPr>
            <w:tcW w:w="4178" w:type="pct"/>
            <w:gridSpan w:val="5"/>
            <w:tcBorders>
              <w:top w:val="single" w:color="auto" w:sz="8" w:space="0"/>
              <w:left w:val="single" w:color="auto" w:sz="8" w:space="0"/>
              <w:bottom w:val="single" w:color="auto" w:sz="8" w:space="0"/>
              <w:right w:val="single" w:color="000000" w:sz="8" w:space="0"/>
            </w:tcBorders>
            <w:noWrap w:val="0"/>
            <w:vAlign w:val="center"/>
          </w:tcPr>
          <w:p w14:paraId="75A99B28">
            <w:pPr>
              <w:widowControl/>
              <w:snapToGrid w:val="0"/>
              <w:spacing w:line="360" w:lineRule="auto"/>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合计</w:t>
            </w:r>
          </w:p>
        </w:tc>
        <w:tc>
          <w:tcPr>
            <w:tcW w:w="821" w:type="pct"/>
            <w:tcBorders>
              <w:top w:val="nil"/>
              <w:left w:val="nil"/>
              <w:bottom w:val="single" w:color="auto" w:sz="8" w:space="0"/>
              <w:right w:val="single" w:color="auto" w:sz="8" w:space="0"/>
            </w:tcBorders>
            <w:noWrap w:val="0"/>
            <w:vAlign w:val="center"/>
          </w:tcPr>
          <w:p w14:paraId="49ACF64E">
            <w:pPr>
              <w:widowControl/>
              <w:snapToGrid w:val="0"/>
              <w:spacing w:line="360" w:lineRule="auto"/>
              <w:ind w:left="0" w:leftChars="0" w:firstLine="0" w:firstLineChars="0"/>
              <w:jc w:val="center"/>
              <w:rPr>
                <w:rFonts w:hint="default" w:ascii="Times New Roman" w:hAnsi="Times New Roman" w:eastAsia="宋体" w:cs="Times New Roman"/>
                <w:color w:val="000000"/>
                <w:kern w:val="0"/>
                <w:sz w:val="24"/>
                <w:szCs w:val="24"/>
                <w:lang w:val="en-US" w:eastAsia="zh-CN"/>
              </w:rPr>
            </w:pPr>
            <w:r>
              <w:rPr>
                <w:rFonts w:hint="eastAsia" w:eastAsia="宋体" w:cs="Times New Roman"/>
                <w:color w:val="000000"/>
                <w:kern w:val="0"/>
                <w:sz w:val="24"/>
                <w:szCs w:val="24"/>
                <w:lang w:val="en-US" w:eastAsia="zh-CN"/>
              </w:rPr>
              <w:t>0.0170</w:t>
            </w:r>
          </w:p>
        </w:tc>
      </w:tr>
    </w:tbl>
    <w:p w14:paraId="44252E8B">
      <w:pPr>
        <w:spacing w:before="156" w:beforeLines="50" w:after="156" w:afterLines="50"/>
        <w:jc w:val="center"/>
        <w:rPr>
          <w:rFonts w:hint="default" w:ascii="Times New Roman" w:hAnsi="Times New Roman" w:eastAsia="宋体" w:cs="Times New Roman"/>
          <w:sz w:val="24"/>
          <w:szCs w:val="24"/>
        </w:rPr>
      </w:pPr>
    </w:p>
    <w:p w14:paraId="4A82739C">
      <w:pPr>
        <w:pStyle w:val="28"/>
        <w:bidi w:val="0"/>
        <w:rPr>
          <w:rFonts w:hint="default" w:ascii="Times New Roman" w:hAnsi="Times New Roman"/>
        </w:rPr>
      </w:pPr>
      <w:r>
        <w:rPr>
          <w:rFonts w:hint="default" w:ascii="Times New Roman" w:hAnsi="Times New Roman"/>
        </w:rPr>
        <w:t>表3-</w:t>
      </w:r>
      <w:r>
        <w:rPr>
          <w:rFonts w:hint="default" w:ascii="Times New Roman" w:hAnsi="Times New Roman"/>
          <w:lang w:val="en-US" w:eastAsia="zh-CN"/>
        </w:rPr>
        <w:t>2</w:t>
      </w:r>
      <w:r>
        <w:rPr>
          <w:rFonts w:hint="default" w:ascii="Times New Roman" w:hAnsi="Times New Roman"/>
        </w:rPr>
        <w:t xml:space="preserve">  净购入电力引起的消费排放数据表</w:t>
      </w:r>
    </w:p>
    <w:tbl>
      <w:tblPr>
        <w:tblStyle w:val="12"/>
        <w:tblW w:w="5000" w:type="pct"/>
        <w:tblInd w:w="0" w:type="dxa"/>
        <w:tblLayout w:type="autofit"/>
        <w:tblCellMar>
          <w:top w:w="0" w:type="dxa"/>
          <w:left w:w="108" w:type="dxa"/>
          <w:bottom w:w="0" w:type="dxa"/>
          <w:right w:w="108" w:type="dxa"/>
        </w:tblCellMar>
      </w:tblPr>
      <w:tblGrid>
        <w:gridCol w:w="2897"/>
        <w:gridCol w:w="2183"/>
        <w:gridCol w:w="1936"/>
        <w:gridCol w:w="1695"/>
        <w:gridCol w:w="2906"/>
        <w:gridCol w:w="2557"/>
      </w:tblGrid>
      <w:tr w14:paraId="6FC22B14">
        <w:tblPrEx>
          <w:tblCellMar>
            <w:top w:w="0" w:type="dxa"/>
            <w:left w:w="108" w:type="dxa"/>
            <w:bottom w:w="0" w:type="dxa"/>
            <w:right w:w="108" w:type="dxa"/>
          </w:tblCellMar>
        </w:tblPrEx>
        <w:trPr>
          <w:trHeight w:val="270" w:hRule="atLeast"/>
        </w:trPr>
        <w:tc>
          <w:tcPr>
            <w:tcW w:w="4098" w:type="pct"/>
            <w:gridSpan w:val="5"/>
            <w:tcBorders>
              <w:top w:val="single" w:color="auto" w:sz="4" w:space="0"/>
              <w:left w:val="single" w:color="auto" w:sz="4" w:space="0"/>
              <w:bottom w:val="single" w:color="auto" w:sz="4" w:space="0"/>
              <w:right w:val="nil"/>
            </w:tcBorders>
            <w:noWrap w:val="0"/>
            <w:vAlign w:val="center"/>
          </w:tcPr>
          <w:p w14:paraId="2B74A6DC">
            <w:pPr>
              <w:widowControl/>
              <w:spacing w:line="360" w:lineRule="auto"/>
              <w:ind w:left="0" w:leftChars="0" w:firstLine="0" w:firstLineChars="0"/>
              <w:jc w:val="left"/>
              <w:rPr>
                <w:rFonts w:hint="default" w:ascii="Times New Roman" w:hAnsi="Times New Roman" w:eastAsia="宋体" w:cs="Times New Roman"/>
                <w:color w:val="000000"/>
                <w:kern w:val="0"/>
                <w:sz w:val="24"/>
                <w:szCs w:val="24"/>
                <w:lang w:eastAsia="zh-CN"/>
              </w:rPr>
            </w:pPr>
            <w:r>
              <w:rPr>
                <w:rFonts w:hint="default" w:ascii="Times New Roman" w:hAnsi="Times New Roman" w:eastAsia="宋体" w:cs="Times New Roman"/>
                <w:color w:val="000000"/>
                <w:kern w:val="0"/>
                <w:sz w:val="24"/>
                <w:szCs w:val="24"/>
              </w:rPr>
              <w:t>报告主体名称：</w:t>
            </w:r>
            <w:r>
              <w:rPr>
                <w:rFonts w:hint="eastAsia" w:eastAsia="宋体" w:cs="Times New Roman"/>
                <w:color w:val="000000"/>
                <w:kern w:val="0"/>
                <w:sz w:val="24"/>
                <w:szCs w:val="24"/>
                <w:lang w:eastAsia="zh-CN"/>
              </w:rPr>
              <w:t>铜陵有色金翔物资有限责任公司</w:t>
            </w:r>
          </w:p>
        </w:tc>
        <w:tc>
          <w:tcPr>
            <w:tcW w:w="902" w:type="pct"/>
            <w:tcBorders>
              <w:top w:val="single" w:color="auto" w:sz="4" w:space="0"/>
              <w:left w:val="single" w:color="auto" w:sz="4" w:space="0"/>
              <w:bottom w:val="single" w:color="auto" w:sz="4" w:space="0"/>
              <w:right w:val="single" w:color="auto" w:sz="4" w:space="0"/>
            </w:tcBorders>
            <w:noWrap w:val="0"/>
            <w:vAlign w:val="center"/>
          </w:tcPr>
          <w:p w14:paraId="76B2D689">
            <w:pPr>
              <w:widowControl/>
              <w:spacing w:line="360" w:lineRule="auto"/>
              <w:ind w:left="0" w:leftChars="0" w:firstLine="0" w:firstLineChars="0"/>
              <w:jc w:val="center"/>
              <w:rPr>
                <w:rFonts w:hint="eastAsia" w:ascii="Times New Roman" w:hAnsi="Times New Roman" w:eastAsia="宋体" w:cs="Times New Roman"/>
                <w:color w:val="000000"/>
                <w:kern w:val="0"/>
                <w:sz w:val="24"/>
                <w:szCs w:val="24"/>
                <w:lang w:val="en-US" w:eastAsia="zh-CN"/>
              </w:rPr>
            </w:pPr>
            <w:r>
              <w:rPr>
                <w:rFonts w:hint="default" w:ascii="Times New Roman" w:hAnsi="Times New Roman" w:eastAsia="宋体" w:cs="Times New Roman"/>
                <w:color w:val="000000"/>
                <w:kern w:val="0"/>
                <w:sz w:val="24"/>
                <w:szCs w:val="24"/>
              </w:rPr>
              <w:t>年度：202</w:t>
            </w:r>
            <w:r>
              <w:rPr>
                <w:rFonts w:hint="eastAsia" w:ascii="Times New Roman" w:hAnsi="Times New Roman" w:eastAsia="宋体" w:cs="Times New Roman"/>
                <w:color w:val="000000"/>
                <w:kern w:val="0"/>
                <w:sz w:val="24"/>
                <w:szCs w:val="24"/>
                <w:lang w:val="en-US" w:eastAsia="zh-CN"/>
              </w:rPr>
              <w:t>4</w:t>
            </w:r>
          </w:p>
        </w:tc>
      </w:tr>
      <w:tr w14:paraId="61AD0CAA">
        <w:tblPrEx>
          <w:tblCellMar>
            <w:top w:w="0" w:type="dxa"/>
            <w:left w:w="108" w:type="dxa"/>
            <w:bottom w:w="0" w:type="dxa"/>
            <w:right w:w="108" w:type="dxa"/>
          </w:tblCellMar>
        </w:tblPrEx>
        <w:trPr>
          <w:trHeight w:val="270" w:hRule="atLeast"/>
        </w:trPr>
        <w:tc>
          <w:tcPr>
            <w:tcW w:w="1022" w:type="pct"/>
            <w:vMerge w:val="restart"/>
            <w:tcBorders>
              <w:top w:val="nil"/>
              <w:left w:val="single" w:color="auto" w:sz="4" w:space="0"/>
              <w:right w:val="single" w:color="auto" w:sz="4" w:space="0"/>
            </w:tcBorders>
            <w:noWrap w:val="0"/>
            <w:vAlign w:val="center"/>
          </w:tcPr>
          <w:p w14:paraId="5E896E15">
            <w:pPr>
              <w:widowControl/>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类型</w:t>
            </w:r>
          </w:p>
        </w:tc>
        <w:tc>
          <w:tcPr>
            <w:tcW w:w="2051" w:type="pct"/>
            <w:gridSpan w:val="3"/>
            <w:tcBorders>
              <w:top w:val="single" w:color="auto" w:sz="4" w:space="0"/>
              <w:left w:val="nil"/>
              <w:bottom w:val="single" w:color="auto" w:sz="4" w:space="0"/>
              <w:right w:val="nil"/>
            </w:tcBorders>
            <w:noWrap w:val="0"/>
            <w:vAlign w:val="center"/>
          </w:tcPr>
          <w:p w14:paraId="5376EDDE">
            <w:pPr>
              <w:widowControl/>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净购入量</w:t>
            </w:r>
          </w:p>
        </w:tc>
        <w:tc>
          <w:tcPr>
            <w:tcW w:w="1025" w:type="pct"/>
            <w:vMerge w:val="restart"/>
            <w:tcBorders>
              <w:top w:val="nil"/>
              <w:left w:val="single" w:color="auto" w:sz="4" w:space="0"/>
              <w:right w:val="single" w:color="auto" w:sz="4" w:space="0"/>
            </w:tcBorders>
            <w:noWrap w:val="0"/>
            <w:vAlign w:val="center"/>
          </w:tcPr>
          <w:p w14:paraId="5EDA194A">
            <w:pPr>
              <w:widowControl/>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CO</w:t>
            </w:r>
            <w:r>
              <w:rPr>
                <w:rFonts w:hint="default" w:ascii="Times New Roman" w:hAnsi="Times New Roman" w:eastAsia="宋体" w:cs="Times New Roman"/>
                <w:color w:val="000000"/>
                <w:kern w:val="0"/>
                <w:sz w:val="24"/>
                <w:szCs w:val="24"/>
                <w:vertAlign w:val="subscript"/>
              </w:rPr>
              <w:t>2</w:t>
            </w:r>
            <w:r>
              <w:rPr>
                <w:rFonts w:hint="default" w:ascii="Times New Roman" w:hAnsi="Times New Roman" w:eastAsia="宋体" w:cs="Times New Roman"/>
                <w:color w:val="000000"/>
                <w:kern w:val="0"/>
                <w:sz w:val="24"/>
                <w:szCs w:val="24"/>
              </w:rPr>
              <w:t>排放因子</w:t>
            </w:r>
          </w:p>
          <w:p w14:paraId="30E918E1">
            <w:pPr>
              <w:widowControl/>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(t CO2/MWh)</w:t>
            </w:r>
          </w:p>
        </w:tc>
        <w:tc>
          <w:tcPr>
            <w:tcW w:w="902" w:type="pct"/>
            <w:vMerge w:val="restart"/>
            <w:tcBorders>
              <w:top w:val="nil"/>
              <w:left w:val="single" w:color="auto" w:sz="4" w:space="0"/>
              <w:right w:val="single" w:color="auto" w:sz="4" w:space="0"/>
            </w:tcBorders>
            <w:noWrap w:val="0"/>
            <w:vAlign w:val="center"/>
          </w:tcPr>
          <w:p w14:paraId="0BC3AED5">
            <w:pPr>
              <w:widowControl/>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CO</w:t>
            </w:r>
            <w:r>
              <w:rPr>
                <w:rFonts w:hint="default" w:ascii="Times New Roman" w:hAnsi="Times New Roman" w:eastAsia="宋体" w:cs="Times New Roman"/>
                <w:color w:val="000000"/>
                <w:kern w:val="0"/>
                <w:sz w:val="24"/>
                <w:szCs w:val="24"/>
                <w:vertAlign w:val="subscript"/>
              </w:rPr>
              <w:t>2</w:t>
            </w:r>
            <w:r>
              <w:rPr>
                <w:rFonts w:hint="default" w:ascii="Times New Roman" w:hAnsi="Times New Roman" w:eastAsia="宋体" w:cs="Times New Roman"/>
                <w:color w:val="000000"/>
                <w:kern w:val="0"/>
                <w:sz w:val="24"/>
                <w:szCs w:val="24"/>
              </w:rPr>
              <w:t>排放量</w:t>
            </w:r>
          </w:p>
          <w:p w14:paraId="62B4FE7D">
            <w:pPr>
              <w:widowControl/>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（t CO</w:t>
            </w:r>
            <w:r>
              <w:rPr>
                <w:rFonts w:hint="default" w:ascii="Times New Roman" w:hAnsi="Times New Roman" w:eastAsia="宋体" w:cs="Times New Roman"/>
                <w:color w:val="000000"/>
                <w:kern w:val="0"/>
                <w:sz w:val="24"/>
                <w:szCs w:val="24"/>
                <w:vertAlign w:val="subscript"/>
              </w:rPr>
              <w:t>2</w:t>
            </w:r>
            <w:r>
              <w:rPr>
                <w:rFonts w:hint="default" w:ascii="Times New Roman" w:hAnsi="Times New Roman" w:eastAsia="宋体" w:cs="Times New Roman"/>
                <w:color w:val="000000"/>
                <w:kern w:val="0"/>
                <w:sz w:val="24"/>
                <w:szCs w:val="24"/>
              </w:rPr>
              <w:t>）</w:t>
            </w:r>
          </w:p>
        </w:tc>
      </w:tr>
      <w:tr w14:paraId="3D2EC5B3">
        <w:tblPrEx>
          <w:tblCellMar>
            <w:top w:w="0" w:type="dxa"/>
            <w:left w:w="108" w:type="dxa"/>
            <w:bottom w:w="0" w:type="dxa"/>
            <w:right w:w="108" w:type="dxa"/>
          </w:tblCellMar>
        </w:tblPrEx>
        <w:trPr>
          <w:trHeight w:val="270" w:hRule="atLeast"/>
        </w:trPr>
        <w:tc>
          <w:tcPr>
            <w:tcW w:w="1022" w:type="pct"/>
            <w:vMerge w:val="continue"/>
            <w:tcBorders>
              <w:left w:val="single" w:color="auto" w:sz="4" w:space="0"/>
              <w:bottom w:val="single" w:color="auto" w:sz="4" w:space="0"/>
              <w:right w:val="single" w:color="auto" w:sz="4" w:space="0"/>
            </w:tcBorders>
            <w:noWrap w:val="0"/>
            <w:vAlign w:val="center"/>
          </w:tcPr>
          <w:p w14:paraId="31B02799">
            <w:pPr>
              <w:widowControl/>
              <w:spacing w:line="360" w:lineRule="auto"/>
              <w:jc w:val="center"/>
              <w:rPr>
                <w:rFonts w:hint="default" w:ascii="Times New Roman" w:hAnsi="Times New Roman" w:eastAsia="宋体" w:cs="Times New Roman"/>
                <w:color w:val="000000"/>
                <w:kern w:val="0"/>
                <w:sz w:val="24"/>
                <w:szCs w:val="24"/>
              </w:rPr>
            </w:pPr>
          </w:p>
        </w:tc>
        <w:tc>
          <w:tcPr>
            <w:tcW w:w="770" w:type="pct"/>
            <w:tcBorders>
              <w:top w:val="nil"/>
              <w:left w:val="nil"/>
              <w:bottom w:val="single" w:color="auto" w:sz="4" w:space="0"/>
              <w:right w:val="single" w:color="auto" w:sz="4" w:space="0"/>
            </w:tcBorders>
            <w:noWrap w:val="0"/>
            <w:vAlign w:val="center"/>
          </w:tcPr>
          <w:p w14:paraId="104111EF">
            <w:pPr>
              <w:widowControl/>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净购入量</w:t>
            </w:r>
          </w:p>
          <w:p w14:paraId="6C6A50DC">
            <w:pPr>
              <w:widowControl/>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(MWh)</w:t>
            </w:r>
          </w:p>
        </w:tc>
        <w:tc>
          <w:tcPr>
            <w:tcW w:w="683" w:type="pct"/>
            <w:tcBorders>
              <w:top w:val="nil"/>
              <w:left w:val="nil"/>
              <w:bottom w:val="single" w:color="auto" w:sz="4" w:space="0"/>
              <w:right w:val="single" w:color="auto" w:sz="4" w:space="0"/>
            </w:tcBorders>
            <w:noWrap w:val="0"/>
            <w:vAlign w:val="center"/>
          </w:tcPr>
          <w:p w14:paraId="129BE74C">
            <w:pPr>
              <w:widowControl/>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购入量</w:t>
            </w:r>
          </w:p>
          <w:p w14:paraId="6883F848">
            <w:pPr>
              <w:widowControl/>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(MWh)</w:t>
            </w:r>
          </w:p>
        </w:tc>
        <w:tc>
          <w:tcPr>
            <w:tcW w:w="598" w:type="pct"/>
            <w:tcBorders>
              <w:top w:val="nil"/>
              <w:left w:val="nil"/>
              <w:bottom w:val="single" w:color="auto" w:sz="4" w:space="0"/>
              <w:right w:val="single" w:color="auto" w:sz="4" w:space="0"/>
            </w:tcBorders>
            <w:noWrap w:val="0"/>
            <w:vAlign w:val="center"/>
          </w:tcPr>
          <w:p w14:paraId="6BE0AEBB">
            <w:pPr>
              <w:widowControl/>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外供量</w:t>
            </w:r>
          </w:p>
          <w:p w14:paraId="6B65FF28">
            <w:pPr>
              <w:widowControl/>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(MWh)</w:t>
            </w:r>
          </w:p>
        </w:tc>
        <w:tc>
          <w:tcPr>
            <w:tcW w:w="1025" w:type="pct"/>
            <w:vMerge w:val="continue"/>
            <w:tcBorders>
              <w:left w:val="single" w:color="auto" w:sz="4" w:space="0"/>
              <w:bottom w:val="single" w:color="auto" w:sz="4" w:space="0"/>
              <w:right w:val="single" w:color="auto" w:sz="4" w:space="0"/>
            </w:tcBorders>
            <w:noWrap w:val="0"/>
            <w:vAlign w:val="center"/>
          </w:tcPr>
          <w:p w14:paraId="18A723C3">
            <w:pPr>
              <w:widowControl/>
              <w:spacing w:line="360" w:lineRule="auto"/>
              <w:jc w:val="center"/>
              <w:rPr>
                <w:rFonts w:hint="default" w:ascii="Times New Roman" w:hAnsi="Times New Roman" w:eastAsia="宋体" w:cs="Times New Roman"/>
                <w:color w:val="000000"/>
                <w:kern w:val="0"/>
                <w:sz w:val="24"/>
                <w:szCs w:val="24"/>
              </w:rPr>
            </w:pPr>
          </w:p>
        </w:tc>
        <w:tc>
          <w:tcPr>
            <w:tcW w:w="902" w:type="pct"/>
            <w:vMerge w:val="continue"/>
            <w:tcBorders>
              <w:left w:val="single" w:color="auto" w:sz="4" w:space="0"/>
              <w:bottom w:val="single" w:color="auto" w:sz="4" w:space="0"/>
              <w:right w:val="single" w:color="auto" w:sz="4" w:space="0"/>
            </w:tcBorders>
            <w:noWrap w:val="0"/>
            <w:vAlign w:val="center"/>
          </w:tcPr>
          <w:p w14:paraId="3AE359FB">
            <w:pPr>
              <w:widowControl/>
              <w:spacing w:line="360" w:lineRule="auto"/>
              <w:jc w:val="center"/>
              <w:rPr>
                <w:rFonts w:hint="default" w:ascii="Times New Roman" w:hAnsi="Times New Roman" w:eastAsia="宋体" w:cs="Times New Roman"/>
                <w:color w:val="000000"/>
                <w:kern w:val="0"/>
                <w:sz w:val="24"/>
                <w:szCs w:val="24"/>
              </w:rPr>
            </w:pPr>
          </w:p>
        </w:tc>
      </w:tr>
      <w:tr w14:paraId="1FA9BFEC">
        <w:tblPrEx>
          <w:tblCellMar>
            <w:top w:w="0" w:type="dxa"/>
            <w:left w:w="108" w:type="dxa"/>
            <w:bottom w:w="0" w:type="dxa"/>
            <w:right w:w="108" w:type="dxa"/>
          </w:tblCellMar>
        </w:tblPrEx>
        <w:trPr>
          <w:trHeight w:val="270" w:hRule="atLeast"/>
        </w:trPr>
        <w:tc>
          <w:tcPr>
            <w:tcW w:w="1022" w:type="pct"/>
            <w:tcBorders>
              <w:top w:val="nil"/>
              <w:left w:val="single" w:color="auto" w:sz="4" w:space="0"/>
              <w:bottom w:val="single" w:color="auto" w:sz="4" w:space="0"/>
              <w:right w:val="single" w:color="auto" w:sz="4" w:space="0"/>
            </w:tcBorders>
            <w:noWrap w:val="0"/>
            <w:vAlign w:val="center"/>
          </w:tcPr>
          <w:p w14:paraId="30694AAB">
            <w:pPr>
              <w:widowControl/>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电力（华东地区电网）</w:t>
            </w:r>
          </w:p>
        </w:tc>
        <w:tc>
          <w:tcPr>
            <w:tcW w:w="770" w:type="pct"/>
            <w:tcBorders>
              <w:top w:val="nil"/>
              <w:left w:val="nil"/>
              <w:bottom w:val="single" w:color="auto" w:sz="4" w:space="0"/>
              <w:right w:val="single" w:color="auto" w:sz="4" w:space="0"/>
            </w:tcBorders>
            <w:noWrap w:val="0"/>
            <w:vAlign w:val="center"/>
          </w:tcPr>
          <w:p w14:paraId="7A622250">
            <w:pPr>
              <w:widowControl/>
              <w:spacing w:line="360" w:lineRule="auto"/>
              <w:ind w:left="0" w:leftChars="0" w:firstLine="0" w:firstLineChars="0"/>
              <w:jc w:val="center"/>
              <w:rPr>
                <w:rFonts w:hint="default" w:ascii="Times New Roman" w:hAnsi="Times New Roman" w:eastAsia="宋体" w:cs="Times New Roman"/>
                <w:color w:val="000000"/>
                <w:kern w:val="0"/>
                <w:sz w:val="24"/>
                <w:szCs w:val="24"/>
                <w:lang w:val="en-US"/>
              </w:rPr>
            </w:pPr>
            <w:r>
              <w:rPr>
                <w:rFonts w:hint="eastAsia" w:cs="Times New Roman"/>
                <w:color w:val="000000"/>
                <w:sz w:val="24"/>
                <w:szCs w:val="24"/>
                <w:lang w:val="en-US" w:eastAsia="zh-CN"/>
              </w:rPr>
              <w:t>972.43</w:t>
            </w:r>
          </w:p>
        </w:tc>
        <w:tc>
          <w:tcPr>
            <w:tcW w:w="683" w:type="pct"/>
            <w:tcBorders>
              <w:top w:val="nil"/>
              <w:left w:val="nil"/>
              <w:bottom w:val="single" w:color="auto" w:sz="4" w:space="0"/>
              <w:right w:val="single" w:color="auto" w:sz="4" w:space="0"/>
            </w:tcBorders>
            <w:noWrap w:val="0"/>
            <w:vAlign w:val="center"/>
          </w:tcPr>
          <w:p w14:paraId="068C21E7">
            <w:pPr>
              <w:widowControl/>
              <w:spacing w:line="360" w:lineRule="auto"/>
              <w:ind w:left="0" w:leftChars="0" w:firstLine="0" w:firstLineChars="0"/>
              <w:jc w:val="center"/>
              <w:rPr>
                <w:rFonts w:hint="default" w:ascii="Times New Roman" w:hAnsi="Times New Roman" w:eastAsia="宋体" w:cs="Times New Roman"/>
                <w:color w:val="000000"/>
                <w:kern w:val="0"/>
                <w:sz w:val="24"/>
                <w:szCs w:val="24"/>
                <w:lang w:val="en-US"/>
              </w:rPr>
            </w:pPr>
            <w:r>
              <w:rPr>
                <w:rFonts w:hint="eastAsia" w:cs="Times New Roman"/>
                <w:color w:val="000000"/>
                <w:sz w:val="24"/>
                <w:szCs w:val="24"/>
                <w:lang w:val="en-US" w:eastAsia="zh-CN"/>
              </w:rPr>
              <w:t>972.43</w:t>
            </w:r>
          </w:p>
        </w:tc>
        <w:tc>
          <w:tcPr>
            <w:tcW w:w="598" w:type="pct"/>
            <w:tcBorders>
              <w:top w:val="nil"/>
              <w:left w:val="nil"/>
              <w:bottom w:val="single" w:color="auto" w:sz="4" w:space="0"/>
              <w:right w:val="single" w:color="auto" w:sz="4" w:space="0"/>
            </w:tcBorders>
            <w:noWrap w:val="0"/>
            <w:vAlign w:val="center"/>
          </w:tcPr>
          <w:p w14:paraId="42BEFA69">
            <w:pPr>
              <w:widowControl/>
              <w:spacing w:line="360" w:lineRule="auto"/>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等线" w:cs="Times New Roman"/>
                <w:color w:val="000000"/>
                <w:sz w:val="24"/>
                <w:szCs w:val="24"/>
              </w:rPr>
              <w:t>0</w:t>
            </w:r>
          </w:p>
        </w:tc>
        <w:tc>
          <w:tcPr>
            <w:tcW w:w="1025" w:type="pct"/>
            <w:tcBorders>
              <w:top w:val="nil"/>
              <w:left w:val="nil"/>
              <w:bottom w:val="single" w:color="auto" w:sz="4" w:space="0"/>
              <w:right w:val="single" w:color="auto" w:sz="4" w:space="0"/>
            </w:tcBorders>
            <w:noWrap w:val="0"/>
            <w:vAlign w:val="center"/>
          </w:tcPr>
          <w:p w14:paraId="6EC18983">
            <w:pPr>
              <w:widowControl/>
              <w:spacing w:line="360" w:lineRule="auto"/>
              <w:ind w:left="0" w:leftChars="0" w:firstLine="0" w:firstLineChars="0"/>
              <w:jc w:val="center"/>
              <w:rPr>
                <w:rFonts w:hint="default" w:ascii="Times New Roman" w:hAnsi="Times New Roman" w:eastAsia="等线" w:cs="Times New Roman"/>
                <w:color w:val="0070C0"/>
                <w:kern w:val="0"/>
                <w:sz w:val="24"/>
                <w:szCs w:val="24"/>
                <w:lang w:val="en-US" w:eastAsia="zh-CN"/>
              </w:rPr>
            </w:pPr>
            <w:r>
              <w:rPr>
                <w:rFonts w:hint="default" w:ascii="Times New Roman" w:hAnsi="Times New Roman" w:eastAsia="等线" w:cs="Times New Roman"/>
                <w:sz w:val="24"/>
                <w:szCs w:val="24"/>
              </w:rPr>
              <w:t>0.</w:t>
            </w:r>
            <w:r>
              <w:rPr>
                <w:rFonts w:hint="eastAsia" w:ascii="Times New Roman" w:hAnsi="Times New Roman" w:cs="Times New Roman"/>
                <w:sz w:val="24"/>
                <w:szCs w:val="24"/>
                <w:lang w:val="en-US" w:eastAsia="zh-CN"/>
              </w:rPr>
              <w:t>6782</w:t>
            </w:r>
          </w:p>
        </w:tc>
        <w:tc>
          <w:tcPr>
            <w:tcW w:w="2557" w:type="dxa"/>
            <w:tcBorders>
              <w:top w:val="nil"/>
              <w:left w:val="nil"/>
              <w:bottom w:val="single" w:color="auto" w:sz="4" w:space="0"/>
              <w:right w:val="single" w:color="auto" w:sz="4" w:space="0"/>
            </w:tcBorders>
            <w:noWrap w:val="0"/>
            <w:vAlign w:val="center"/>
          </w:tcPr>
          <w:p w14:paraId="5C475441">
            <w:pPr>
              <w:widowControl/>
              <w:spacing w:line="360" w:lineRule="auto"/>
              <w:ind w:left="0" w:leftChars="0" w:firstLine="0" w:firstLineChars="0"/>
              <w:jc w:val="center"/>
              <w:rPr>
                <w:rFonts w:hint="default" w:ascii="Times New Roman" w:hAnsi="Times New Roman" w:eastAsia="等线" w:cs="Times New Roman"/>
                <w:color w:val="000000"/>
                <w:sz w:val="24"/>
                <w:szCs w:val="24"/>
                <w:lang w:val="en-US" w:eastAsia="zh-CN"/>
              </w:rPr>
            </w:pPr>
            <w:r>
              <w:rPr>
                <w:rFonts w:hint="default" w:ascii="Times New Roman" w:hAnsi="Times New Roman" w:eastAsia="等线" w:cs="Times New Roman"/>
                <w:color w:val="000000"/>
                <w:sz w:val="24"/>
                <w:szCs w:val="24"/>
                <w:lang w:val="en-US" w:eastAsia="zh-CN"/>
              </w:rPr>
              <w:t>659.5020</w:t>
            </w:r>
          </w:p>
        </w:tc>
      </w:tr>
      <w:tr w14:paraId="65DD041E">
        <w:tblPrEx>
          <w:tblCellMar>
            <w:top w:w="0" w:type="dxa"/>
            <w:left w:w="108" w:type="dxa"/>
            <w:bottom w:w="0" w:type="dxa"/>
            <w:right w:w="108" w:type="dxa"/>
          </w:tblCellMar>
        </w:tblPrEx>
        <w:trPr>
          <w:trHeight w:val="270" w:hRule="atLeast"/>
        </w:trPr>
        <w:tc>
          <w:tcPr>
            <w:tcW w:w="4098" w:type="pct"/>
            <w:gridSpan w:val="5"/>
            <w:tcBorders>
              <w:top w:val="single" w:color="auto" w:sz="4" w:space="0"/>
              <w:left w:val="single" w:color="auto" w:sz="4" w:space="0"/>
              <w:bottom w:val="single" w:color="auto" w:sz="4" w:space="0"/>
              <w:right w:val="nil"/>
            </w:tcBorders>
            <w:noWrap w:val="0"/>
            <w:vAlign w:val="center"/>
          </w:tcPr>
          <w:p w14:paraId="79EF3534">
            <w:pPr>
              <w:widowControl/>
              <w:spacing w:line="360" w:lineRule="auto"/>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合计</w:t>
            </w:r>
          </w:p>
        </w:tc>
        <w:tc>
          <w:tcPr>
            <w:tcW w:w="2557" w:type="dxa"/>
            <w:tcBorders>
              <w:top w:val="nil"/>
              <w:left w:val="single" w:color="auto" w:sz="4" w:space="0"/>
              <w:bottom w:val="single" w:color="auto" w:sz="4" w:space="0"/>
              <w:right w:val="single" w:color="auto" w:sz="4" w:space="0"/>
            </w:tcBorders>
            <w:noWrap w:val="0"/>
            <w:vAlign w:val="center"/>
          </w:tcPr>
          <w:p w14:paraId="54B5541A">
            <w:pPr>
              <w:widowControl/>
              <w:spacing w:line="360" w:lineRule="auto"/>
              <w:ind w:left="0" w:leftChars="0" w:firstLine="0" w:firstLineChars="0"/>
              <w:jc w:val="center"/>
              <w:rPr>
                <w:rFonts w:hint="default" w:ascii="Times New Roman" w:hAnsi="Times New Roman" w:eastAsia="等线" w:cs="Times New Roman"/>
                <w:color w:val="000000"/>
                <w:sz w:val="24"/>
                <w:szCs w:val="24"/>
                <w:lang w:val="en-US"/>
              </w:rPr>
            </w:pPr>
            <w:r>
              <w:rPr>
                <w:rFonts w:hint="default" w:ascii="Times New Roman" w:hAnsi="Times New Roman" w:eastAsia="等线" w:cs="Times New Roman"/>
                <w:color w:val="000000"/>
                <w:sz w:val="24"/>
                <w:szCs w:val="24"/>
                <w:lang w:val="en-US" w:eastAsia="zh-CN"/>
              </w:rPr>
              <w:t>659.5020</w:t>
            </w:r>
          </w:p>
        </w:tc>
      </w:tr>
    </w:tbl>
    <w:p w14:paraId="5AB76520">
      <w:pPr>
        <w:pStyle w:val="3"/>
        <w:bidi w:val="0"/>
        <w:rPr>
          <w:rFonts w:hint="default"/>
        </w:rPr>
      </w:pPr>
      <w:bookmarkStart w:id="16" w:name="_Toc23398"/>
      <w:bookmarkStart w:id="17" w:name="_Toc8968"/>
      <w:r>
        <w:rPr>
          <w:rFonts w:hint="default"/>
        </w:rPr>
        <w:t>3.2汇总表</w:t>
      </w:r>
      <w:bookmarkEnd w:id="16"/>
      <w:bookmarkEnd w:id="17"/>
    </w:p>
    <w:p w14:paraId="4E97A451">
      <w:pPr>
        <w:pStyle w:val="28"/>
        <w:bidi w:val="0"/>
        <w:rPr>
          <w:rFonts w:hint="default"/>
        </w:rPr>
      </w:pPr>
      <w:r>
        <w:rPr>
          <w:rFonts w:hint="default"/>
        </w:rPr>
        <w:t>表3-</w:t>
      </w:r>
      <w:r>
        <w:rPr>
          <w:rFonts w:hint="eastAsia"/>
          <w:lang w:val="en-US" w:eastAsia="zh-CN"/>
        </w:rPr>
        <w:t>3</w:t>
      </w:r>
      <w:r>
        <w:rPr>
          <w:rFonts w:hint="default"/>
        </w:rPr>
        <w:t xml:space="preserve">  报告主体</w:t>
      </w:r>
      <w:r>
        <w:rPr>
          <w:rFonts w:hint="eastAsia"/>
          <w:lang w:eastAsia="zh-CN"/>
        </w:rPr>
        <w:t>2024年</w:t>
      </w:r>
      <w:r>
        <w:rPr>
          <w:rFonts w:hint="default"/>
        </w:rPr>
        <w:t>温室气体排放量汇总</w:t>
      </w:r>
    </w:p>
    <w:tbl>
      <w:tblPr>
        <w:tblStyle w:val="12"/>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36"/>
        <w:gridCol w:w="3761"/>
        <w:gridCol w:w="2835"/>
        <w:gridCol w:w="2610"/>
      </w:tblGrid>
      <w:tr w14:paraId="6A2E9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11332"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7CC777F9">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报告主体名称：</w:t>
            </w:r>
            <w:r>
              <w:rPr>
                <w:rStyle w:val="29"/>
                <w:lang w:val="en-US" w:eastAsia="zh-CN" w:bidi="ar"/>
              </w:rPr>
              <w:t>铜陵有色金翔物资有限责任公司</w:t>
            </w:r>
          </w:p>
        </w:tc>
        <w:tc>
          <w:tcPr>
            <w:tcW w:w="26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CFAF3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w:t>
            </w:r>
            <w:r>
              <w:rPr>
                <w:rStyle w:val="30"/>
                <w:rFonts w:eastAsia="宋体"/>
                <w:lang w:val="en-US" w:eastAsia="zh-CN" w:bidi="ar"/>
              </w:rPr>
              <w:t>2024</w:t>
            </w:r>
          </w:p>
        </w:tc>
      </w:tr>
      <w:tr w14:paraId="2FC78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3" w:hRule="atLeast"/>
        </w:trPr>
        <w:tc>
          <w:tcPr>
            <w:tcW w:w="4736" w:type="dxa"/>
            <w:tcBorders>
              <w:top w:val="nil"/>
              <w:left w:val="single" w:color="000000" w:sz="8" w:space="0"/>
              <w:bottom w:val="single" w:color="000000" w:sz="8" w:space="0"/>
              <w:right w:val="single" w:color="000000" w:sz="8" w:space="0"/>
            </w:tcBorders>
            <w:shd w:val="clear" w:color="auto" w:fill="auto"/>
            <w:vAlign w:val="center"/>
          </w:tcPr>
          <w:p w14:paraId="3EF2D29A">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源类别</w:t>
            </w:r>
          </w:p>
        </w:tc>
        <w:tc>
          <w:tcPr>
            <w:tcW w:w="3761" w:type="dxa"/>
            <w:tcBorders>
              <w:top w:val="nil"/>
              <w:left w:val="single" w:color="000000" w:sz="8" w:space="0"/>
              <w:bottom w:val="single" w:color="000000" w:sz="8" w:space="0"/>
              <w:right w:val="single" w:color="000000" w:sz="8" w:space="0"/>
            </w:tcBorders>
            <w:shd w:val="clear" w:color="auto" w:fill="auto"/>
            <w:vAlign w:val="center"/>
          </w:tcPr>
          <w:p w14:paraId="4691CDA0">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气体</w:t>
            </w:r>
          </w:p>
        </w:tc>
        <w:tc>
          <w:tcPr>
            <w:tcW w:w="283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836179">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排放量小计</w:t>
            </w:r>
          </w:p>
          <w:p w14:paraId="2167E94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r>
              <w:rPr>
                <w:rStyle w:val="30"/>
                <w:rFonts w:eastAsia="宋体"/>
                <w:lang w:val="en-US" w:eastAsia="zh-CN" w:bidi="ar"/>
              </w:rPr>
              <w:t>t</w:t>
            </w:r>
            <w:r>
              <w:rPr>
                <w:rStyle w:val="29"/>
                <w:lang w:val="en-US" w:eastAsia="zh-CN" w:bidi="ar"/>
              </w:rPr>
              <w:t>）</w:t>
            </w:r>
          </w:p>
        </w:tc>
        <w:tc>
          <w:tcPr>
            <w:tcW w:w="26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E2C8ED">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温室气体排放量</w:t>
            </w:r>
            <w:r>
              <w:rPr>
                <w:rStyle w:val="30"/>
                <w:rFonts w:eastAsia="宋体"/>
                <w:lang w:val="en-US" w:eastAsia="zh-CN" w:bidi="ar"/>
              </w:rPr>
              <w:t>(tCO</w:t>
            </w:r>
            <w:r>
              <w:rPr>
                <w:rStyle w:val="31"/>
                <w:rFonts w:eastAsia="宋体"/>
                <w:lang w:val="en-US" w:eastAsia="zh-CN" w:bidi="ar"/>
              </w:rPr>
              <w:t>2</w:t>
            </w:r>
            <w:r>
              <w:rPr>
                <w:rStyle w:val="31"/>
                <w:rFonts w:hint="eastAsia" w:eastAsia="宋体"/>
                <w:vertAlign w:val="baseline"/>
                <w:lang w:val="en-US" w:eastAsia="zh-CN" w:bidi="ar"/>
              </w:rPr>
              <w:t>e</w:t>
            </w:r>
            <w:r>
              <w:rPr>
                <w:rStyle w:val="30"/>
                <w:rFonts w:eastAsia="宋体"/>
                <w:lang w:val="en-US" w:eastAsia="zh-CN" w:bidi="ar"/>
              </w:rPr>
              <w:t>)</w:t>
            </w:r>
          </w:p>
        </w:tc>
      </w:tr>
      <w:tr w14:paraId="26A0C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9" w:hRule="atLeast"/>
        </w:trPr>
        <w:tc>
          <w:tcPr>
            <w:tcW w:w="11332" w:type="dxa"/>
            <w:gridSpan w:val="3"/>
            <w:tcBorders>
              <w:top w:val="nil"/>
              <w:left w:val="single" w:color="000000" w:sz="8" w:space="0"/>
              <w:bottom w:val="single" w:color="000000" w:sz="8" w:space="0"/>
              <w:right w:val="single" w:color="000000" w:sz="8" w:space="0"/>
            </w:tcBorders>
            <w:shd w:val="clear" w:color="auto" w:fill="auto"/>
            <w:vAlign w:val="center"/>
          </w:tcPr>
          <w:p w14:paraId="4508FC4E">
            <w:pPr>
              <w:keepNext w:val="0"/>
              <w:keepLines w:val="0"/>
              <w:widowControl/>
              <w:suppressLineNumbers w:val="0"/>
              <w:ind w:left="0" w:leftChars="0" w:firstLine="0" w:firstLineChars="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燃料燃烧排放</w:t>
            </w:r>
          </w:p>
        </w:tc>
        <w:tc>
          <w:tcPr>
            <w:tcW w:w="2610" w:type="dxa"/>
            <w:tcBorders>
              <w:top w:val="nil"/>
              <w:left w:val="single" w:color="000000" w:sz="8" w:space="0"/>
              <w:bottom w:val="single" w:color="000000" w:sz="8" w:space="0"/>
              <w:right w:val="single" w:color="000000" w:sz="8" w:space="0"/>
            </w:tcBorders>
            <w:shd w:val="clear" w:color="auto" w:fill="auto"/>
            <w:vAlign w:val="center"/>
          </w:tcPr>
          <w:p w14:paraId="7CEE7291">
            <w:pPr>
              <w:jc w:val="right"/>
              <w:rPr>
                <w:rFonts w:hint="default" w:ascii="Times New Roman" w:hAnsi="Times New Roman" w:eastAsia="宋体" w:cs="Times New Roman"/>
                <w:b/>
                <w:bCs/>
                <w:i w:val="0"/>
                <w:iCs w:val="0"/>
                <w:color w:val="000000"/>
                <w:sz w:val="24"/>
                <w:szCs w:val="24"/>
                <w:u w:val="none"/>
              </w:rPr>
            </w:pPr>
          </w:p>
        </w:tc>
      </w:tr>
      <w:tr w14:paraId="4033C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4736" w:type="dxa"/>
            <w:tcBorders>
              <w:top w:val="nil"/>
              <w:left w:val="single" w:color="000000" w:sz="8" w:space="0"/>
              <w:bottom w:val="single" w:color="000000" w:sz="8" w:space="0"/>
              <w:right w:val="single" w:color="000000" w:sz="8" w:space="0"/>
            </w:tcBorders>
            <w:shd w:val="clear" w:color="auto" w:fill="auto"/>
            <w:vAlign w:val="center"/>
          </w:tcPr>
          <w:p w14:paraId="7D25EDB2">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固定源化石燃料燃烧排放</w:t>
            </w:r>
          </w:p>
        </w:tc>
        <w:tc>
          <w:tcPr>
            <w:tcW w:w="3761" w:type="dxa"/>
            <w:tcBorders>
              <w:top w:val="nil"/>
              <w:left w:val="nil"/>
              <w:bottom w:val="single" w:color="000000" w:sz="8" w:space="0"/>
              <w:right w:val="single" w:color="000000" w:sz="8" w:space="0"/>
            </w:tcBorders>
            <w:shd w:val="clear" w:color="auto" w:fill="auto"/>
            <w:vAlign w:val="center"/>
          </w:tcPr>
          <w:p w14:paraId="6F9A6CA9">
            <w:pPr>
              <w:keepNext w:val="0"/>
              <w:keepLines w:val="0"/>
              <w:widowControl/>
              <w:suppressLineNumbers w:val="0"/>
              <w:ind w:left="0" w:leftChars="0" w:firstLine="0" w:firstLineChars="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CO</w:t>
            </w:r>
            <w:r>
              <w:rPr>
                <w:rStyle w:val="31"/>
                <w:rFonts w:eastAsia="宋体"/>
                <w:lang w:val="en-US" w:eastAsia="zh-CN" w:bidi="ar"/>
              </w:rPr>
              <w:t>2</w:t>
            </w:r>
          </w:p>
        </w:tc>
        <w:tc>
          <w:tcPr>
            <w:tcW w:w="283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06383C3">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0.0170</w:t>
            </w:r>
          </w:p>
        </w:tc>
        <w:tc>
          <w:tcPr>
            <w:tcW w:w="26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CCE240">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0.0170</w:t>
            </w:r>
          </w:p>
        </w:tc>
      </w:tr>
      <w:tr w14:paraId="66C18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11332" w:type="dxa"/>
            <w:gridSpan w:val="3"/>
            <w:tcBorders>
              <w:top w:val="nil"/>
              <w:left w:val="single" w:color="000000" w:sz="8" w:space="0"/>
              <w:bottom w:val="single" w:color="000000" w:sz="8" w:space="0"/>
              <w:right w:val="single" w:color="000000" w:sz="8" w:space="0"/>
            </w:tcBorders>
            <w:shd w:val="clear" w:color="auto" w:fill="auto"/>
            <w:vAlign w:val="center"/>
          </w:tcPr>
          <w:p w14:paraId="6B60D68F">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净购入电力和热力隐含的排放</w:t>
            </w:r>
          </w:p>
        </w:tc>
        <w:tc>
          <w:tcPr>
            <w:tcW w:w="2610" w:type="dxa"/>
            <w:tcBorders>
              <w:top w:val="nil"/>
              <w:left w:val="single" w:color="000000" w:sz="8" w:space="0"/>
              <w:bottom w:val="single" w:color="000000" w:sz="8" w:space="0"/>
              <w:right w:val="single" w:color="000000" w:sz="8" w:space="0"/>
            </w:tcBorders>
            <w:shd w:val="clear" w:color="auto" w:fill="auto"/>
            <w:vAlign w:val="center"/>
          </w:tcPr>
          <w:p w14:paraId="48A9C933">
            <w:pPr>
              <w:jc w:val="center"/>
              <w:rPr>
                <w:rFonts w:hint="default" w:ascii="Times New Roman" w:hAnsi="Times New Roman" w:eastAsia="宋体" w:cs="Times New Roman"/>
                <w:b/>
                <w:bCs/>
                <w:i w:val="0"/>
                <w:iCs w:val="0"/>
                <w:color w:val="000000"/>
                <w:sz w:val="24"/>
                <w:szCs w:val="24"/>
                <w:u w:val="none"/>
              </w:rPr>
            </w:pPr>
          </w:p>
        </w:tc>
      </w:tr>
      <w:tr w14:paraId="48922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3" w:hRule="atLeast"/>
        </w:trPr>
        <w:tc>
          <w:tcPr>
            <w:tcW w:w="4736" w:type="dxa"/>
            <w:tcBorders>
              <w:top w:val="nil"/>
              <w:left w:val="single" w:color="000000" w:sz="8" w:space="0"/>
              <w:bottom w:val="single" w:color="000000" w:sz="8" w:space="0"/>
              <w:right w:val="single" w:color="000000" w:sz="8" w:space="0"/>
            </w:tcBorders>
            <w:shd w:val="clear" w:color="auto" w:fill="auto"/>
            <w:vAlign w:val="center"/>
          </w:tcPr>
          <w:p w14:paraId="44038BAB">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净购入电力隐含的排放</w:t>
            </w:r>
          </w:p>
        </w:tc>
        <w:tc>
          <w:tcPr>
            <w:tcW w:w="3761" w:type="dxa"/>
            <w:tcBorders>
              <w:top w:val="nil"/>
              <w:left w:val="nil"/>
              <w:bottom w:val="single" w:color="000000" w:sz="8" w:space="0"/>
              <w:right w:val="single" w:color="000000" w:sz="8" w:space="0"/>
            </w:tcBorders>
            <w:shd w:val="clear" w:color="auto" w:fill="auto"/>
            <w:vAlign w:val="center"/>
          </w:tcPr>
          <w:p w14:paraId="2E0DDE09">
            <w:pPr>
              <w:keepNext w:val="0"/>
              <w:keepLines w:val="0"/>
              <w:widowControl/>
              <w:suppressLineNumbers w:val="0"/>
              <w:ind w:left="0" w:leftChars="0" w:firstLine="0" w:firstLineChars="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CO</w:t>
            </w:r>
            <w:r>
              <w:rPr>
                <w:rStyle w:val="31"/>
                <w:rFonts w:eastAsia="宋体"/>
                <w:lang w:val="en-US" w:eastAsia="zh-CN" w:bidi="ar"/>
              </w:rPr>
              <w:t>2</w:t>
            </w:r>
          </w:p>
        </w:tc>
        <w:tc>
          <w:tcPr>
            <w:tcW w:w="283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858F0B">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659.5020</w:t>
            </w:r>
          </w:p>
        </w:tc>
        <w:tc>
          <w:tcPr>
            <w:tcW w:w="26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FCE3930">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659.5020</w:t>
            </w:r>
          </w:p>
        </w:tc>
      </w:tr>
      <w:tr w14:paraId="47DC1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4" w:hRule="atLeast"/>
        </w:trPr>
        <w:tc>
          <w:tcPr>
            <w:tcW w:w="4736" w:type="dxa"/>
            <w:vMerge w:val="restart"/>
            <w:tcBorders>
              <w:top w:val="nil"/>
              <w:left w:val="single" w:color="000000" w:sz="8" w:space="0"/>
              <w:bottom w:val="single" w:color="000000" w:sz="8" w:space="0"/>
              <w:right w:val="single" w:color="000000" w:sz="8" w:space="0"/>
            </w:tcBorders>
            <w:shd w:val="clear" w:color="auto" w:fill="auto"/>
            <w:vAlign w:val="center"/>
          </w:tcPr>
          <w:p w14:paraId="0F43A5F2">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企业温室气体排放总量</w:t>
            </w:r>
          </w:p>
        </w:tc>
        <w:tc>
          <w:tcPr>
            <w:tcW w:w="3761" w:type="dxa"/>
            <w:tcBorders>
              <w:top w:val="nil"/>
              <w:left w:val="nil"/>
              <w:bottom w:val="single" w:color="000000" w:sz="8" w:space="0"/>
              <w:right w:val="single" w:color="000000" w:sz="8" w:space="0"/>
            </w:tcBorders>
            <w:shd w:val="clear" w:color="auto" w:fill="auto"/>
            <w:vAlign w:val="center"/>
          </w:tcPr>
          <w:p w14:paraId="67278E07">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不包括净购入电力和热力</w:t>
            </w:r>
          </w:p>
        </w:tc>
        <w:tc>
          <w:tcPr>
            <w:tcW w:w="2835" w:type="dxa"/>
            <w:tcBorders>
              <w:top w:val="nil"/>
              <w:left w:val="nil"/>
              <w:bottom w:val="single" w:color="000000" w:sz="8" w:space="0"/>
              <w:right w:val="single" w:color="000000" w:sz="8" w:space="0"/>
            </w:tcBorders>
            <w:shd w:val="clear" w:color="auto" w:fill="auto"/>
            <w:vAlign w:val="center"/>
          </w:tcPr>
          <w:p w14:paraId="2409ADBB">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0.0170</w:t>
            </w:r>
          </w:p>
        </w:tc>
        <w:tc>
          <w:tcPr>
            <w:tcW w:w="2610" w:type="dxa"/>
            <w:tcBorders>
              <w:top w:val="nil"/>
              <w:left w:val="nil"/>
              <w:bottom w:val="single" w:color="000000" w:sz="8" w:space="0"/>
              <w:right w:val="single" w:color="000000" w:sz="8" w:space="0"/>
            </w:tcBorders>
            <w:shd w:val="clear" w:color="auto" w:fill="auto"/>
            <w:vAlign w:val="center"/>
          </w:tcPr>
          <w:p w14:paraId="7FDA0F9C">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0.0170</w:t>
            </w:r>
          </w:p>
        </w:tc>
      </w:tr>
      <w:tr w14:paraId="7635B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4736" w:type="dxa"/>
            <w:vMerge w:val="continue"/>
            <w:tcBorders>
              <w:top w:val="nil"/>
              <w:left w:val="single" w:color="000000" w:sz="8" w:space="0"/>
              <w:bottom w:val="single" w:color="000000" w:sz="8" w:space="0"/>
              <w:right w:val="single" w:color="000000" w:sz="8" w:space="0"/>
            </w:tcBorders>
            <w:shd w:val="clear" w:color="auto" w:fill="auto"/>
            <w:vAlign w:val="center"/>
          </w:tcPr>
          <w:p w14:paraId="31C59B73">
            <w:pPr>
              <w:jc w:val="both"/>
              <w:rPr>
                <w:rFonts w:hint="eastAsia" w:ascii="宋体" w:hAnsi="宋体" w:eastAsia="宋体" w:cs="宋体"/>
                <w:i w:val="0"/>
                <w:iCs w:val="0"/>
                <w:color w:val="000000"/>
                <w:sz w:val="24"/>
                <w:szCs w:val="24"/>
                <w:u w:val="none"/>
              </w:rPr>
            </w:pPr>
          </w:p>
        </w:tc>
        <w:tc>
          <w:tcPr>
            <w:tcW w:w="3761" w:type="dxa"/>
            <w:tcBorders>
              <w:top w:val="nil"/>
              <w:left w:val="nil"/>
              <w:bottom w:val="single" w:color="000000" w:sz="8" w:space="0"/>
              <w:right w:val="single" w:color="000000" w:sz="8" w:space="0"/>
            </w:tcBorders>
            <w:shd w:val="clear" w:color="auto" w:fill="auto"/>
            <w:vAlign w:val="center"/>
          </w:tcPr>
          <w:p w14:paraId="324C8832">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包括净购入电力和热力</w:t>
            </w:r>
          </w:p>
        </w:tc>
        <w:tc>
          <w:tcPr>
            <w:tcW w:w="2835" w:type="dxa"/>
            <w:tcBorders>
              <w:top w:val="nil"/>
              <w:left w:val="nil"/>
              <w:bottom w:val="single" w:color="000000" w:sz="8" w:space="0"/>
              <w:right w:val="single" w:color="000000" w:sz="8" w:space="0"/>
            </w:tcBorders>
            <w:shd w:val="clear" w:color="auto" w:fill="auto"/>
            <w:vAlign w:val="center"/>
          </w:tcPr>
          <w:p w14:paraId="3D8F2EDE">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659.5190</w:t>
            </w:r>
          </w:p>
        </w:tc>
        <w:tc>
          <w:tcPr>
            <w:tcW w:w="2610" w:type="dxa"/>
            <w:tcBorders>
              <w:top w:val="nil"/>
              <w:left w:val="nil"/>
              <w:bottom w:val="single" w:color="000000" w:sz="8" w:space="0"/>
              <w:right w:val="single" w:color="000000" w:sz="8" w:space="0"/>
            </w:tcBorders>
            <w:shd w:val="clear" w:color="auto" w:fill="auto"/>
            <w:vAlign w:val="center"/>
          </w:tcPr>
          <w:p w14:paraId="128CDCB8">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659.5190</w:t>
            </w:r>
          </w:p>
        </w:tc>
      </w:tr>
    </w:tbl>
    <w:p w14:paraId="4DAAA4CB">
      <w:pPr>
        <w:spacing w:line="360" w:lineRule="auto"/>
        <w:ind w:firstLine="480" w:firstLineChars="200"/>
        <w:rPr>
          <w:rFonts w:hint="default" w:ascii="Times New Roman" w:hAnsi="Times New Roman" w:eastAsia="宋体" w:cs="Times New Roman"/>
          <w:color w:val="0070C0"/>
          <w:sz w:val="24"/>
          <w:szCs w:val="24"/>
        </w:rPr>
      </w:pPr>
    </w:p>
    <w:p w14:paraId="5DFAAD36">
      <w:pPr>
        <w:spacing w:line="360" w:lineRule="auto"/>
        <w:ind w:firstLine="480" w:firstLineChars="200"/>
        <w:rPr>
          <w:rFonts w:hint="default" w:ascii="Times New Roman" w:hAnsi="Times New Roman" w:eastAsia="宋体" w:cs="Times New Roman"/>
          <w:color w:val="0070C0"/>
          <w:sz w:val="24"/>
          <w:szCs w:val="24"/>
        </w:rPr>
      </w:pPr>
    </w:p>
    <w:p w14:paraId="34AD4055">
      <w:pPr>
        <w:spacing w:line="360" w:lineRule="auto"/>
        <w:ind w:firstLine="480" w:firstLineChars="200"/>
        <w:rPr>
          <w:rFonts w:hint="default" w:ascii="Times New Roman" w:hAnsi="Times New Roman" w:eastAsia="宋体" w:cs="Times New Roman"/>
          <w:color w:val="0070C0"/>
          <w:sz w:val="24"/>
          <w:szCs w:val="24"/>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720" w:num="1"/>
          <w:docGrid w:type="lines" w:linePitch="312" w:charSpace="0"/>
        </w:sectPr>
      </w:pPr>
    </w:p>
    <w:p w14:paraId="34C51FC5">
      <w:pPr>
        <w:pStyle w:val="2"/>
        <w:bidi w:val="0"/>
        <w:rPr>
          <w:rFonts w:hint="default"/>
        </w:rPr>
      </w:pPr>
      <w:bookmarkStart w:id="18" w:name="_Toc20876"/>
      <w:bookmarkStart w:id="19" w:name="_Toc12373"/>
      <w:r>
        <w:rPr>
          <w:rFonts w:hint="default"/>
        </w:rPr>
        <w:t>4  活动数据及来源说明</w:t>
      </w:r>
      <w:bookmarkEnd w:id="18"/>
      <w:bookmarkEnd w:id="19"/>
    </w:p>
    <w:p w14:paraId="15B30EA6">
      <w:pPr>
        <w:bidi w:val="0"/>
        <w:rPr>
          <w:rFonts w:hint="default"/>
        </w:rPr>
      </w:pPr>
      <w:r>
        <w:rPr>
          <w:rFonts w:hint="default"/>
        </w:rPr>
        <w:t>企业的能源消耗主要为电力</w:t>
      </w:r>
      <w:r>
        <w:rPr>
          <w:rFonts w:hint="eastAsia"/>
          <w:lang w:val="en-US" w:eastAsia="zh-CN"/>
        </w:rPr>
        <w:t>和柴油</w:t>
      </w:r>
      <w:r>
        <w:rPr>
          <w:rFonts w:hint="default"/>
        </w:rPr>
        <w:t>，用量计量符合《用能单位能源计量器具配备和管理通则》（GB17167-2006）规定。</w:t>
      </w:r>
    </w:p>
    <w:p w14:paraId="565C2522">
      <w:pPr>
        <w:pStyle w:val="3"/>
        <w:bidi w:val="0"/>
        <w:rPr>
          <w:rFonts w:hint="default"/>
        </w:rPr>
      </w:pPr>
      <w:bookmarkStart w:id="20" w:name="_Toc27056"/>
      <w:bookmarkStart w:id="21" w:name="_Toc19707"/>
      <w:r>
        <w:rPr>
          <w:rFonts w:hint="default"/>
        </w:rPr>
        <w:t>4.1 化石燃料活动水平数据及来源</w:t>
      </w:r>
      <w:bookmarkEnd w:id="20"/>
      <w:bookmarkEnd w:id="21"/>
    </w:p>
    <w:p w14:paraId="07438577">
      <w:pPr>
        <w:pStyle w:val="28"/>
        <w:bidi w:val="0"/>
        <w:rPr>
          <w:rFonts w:hint="default"/>
        </w:rPr>
      </w:pPr>
      <w:r>
        <w:rPr>
          <w:rFonts w:hint="default"/>
        </w:rPr>
        <w:t>表4-1  化石燃料活动水平数据及来源表</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1"/>
        <w:gridCol w:w="3111"/>
        <w:gridCol w:w="3230"/>
      </w:tblGrid>
      <w:tr w14:paraId="45612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0" w:type="pct"/>
            <w:noWrap w:val="0"/>
            <w:vAlign w:val="center"/>
          </w:tcPr>
          <w:p w14:paraId="7A11D29B">
            <w:pPr>
              <w:pStyle w:val="25"/>
              <w:spacing w:before="78" w:beforeLines="25" w:after="78" w:afterLines="25" w:line="360" w:lineRule="auto"/>
              <w:jc w:val="center"/>
              <w:rPr>
                <w:rFonts w:hint="default" w:ascii="Times New Roman" w:hAnsi="Times New Roman" w:eastAsia="宋体" w:cs="Times New Roman"/>
              </w:rPr>
            </w:pPr>
            <w:bookmarkStart w:id="22" w:name="_Toc9295"/>
            <w:r>
              <w:rPr>
                <w:rFonts w:hint="default" w:ascii="Times New Roman" w:hAnsi="Times New Roman" w:eastAsia="宋体" w:cs="Times New Roman"/>
              </w:rPr>
              <w:t>数据名称</w:t>
            </w:r>
          </w:p>
        </w:tc>
        <w:tc>
          <w:tcPr>
            <w:tcW w:w="3720" w:type="pct"/>
            <w:gridSpan w:val="2"/>
            <w:noWrap w:val="0"/>
            <w:vAlign w:val="center"/>
          </w:tcPr>
          <w:p w14:paraId="44A9E11F">
            <w:pPr>
              <w:pStyle w:val="25"/>
              <w:spacing w:before="78" w:beforeLines="25" w:after="78" w:afterLines="25" w:line="360" w:lineRule="auto"/>
              <w:jc w:val="center"/>
              <w:rPr>
                <w:rFonts w:hint="default" w:ascii="Times New Roman" w:hAnsi="Times New Roman" w:eastAsia="宋体" w:cs="Times New Roman"/>
              </w:rPr>
            </w:pPr>
            <w:r>
              <w:rPr>
                <w:rFonts w:hint="eastAsia" w:eastAsia="宋体" w:cs="Times New Roman"/>
                <w:lang w:val="en-US" w:eastAsia="zh-CN"/>
              </w:rPr>
              <w:t>柴油</w:t>
            </w:r>
            <w:r>
              <w:rPr>
                <w:rFonts w:hint="default" w:ascii="Times New Roman" w:hAnsi="Times New Roman" w:eastAsia="宋体" w:cs="Times New Roman"/>
              </w:rPr>
              <w:t>消耗量</w:t>
            </w:r>
          </w:p>
        </w:tc>
      </w:tr>
      <w:tr w14:paraId="6F560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0" w:type="pct"/>
            <w:noWrap w:val="0"/>
            <w:vAlign w:val="center"/>
          </w:tcPr>
          <w:p w14:paraId="50C801EB">
            <w:pPr>
              <w:pStyle w:val="25"/>
              <w:spacing w:before="78" w:beforeLines="25" w:after="78" w:afterLines="25" w:line="360" w:lineRule="auto"/>
              <w:jc w:val="center"/>
              <w:rPr>
                <w:rFonts w:hint="default" w:ascii="Times New Roman" w:hAnsi="Times New Roman" w:eastAsia="宋体" w:cs="Times New Roman"/>
              </w:rPr>
            </w:pPr>
            <w:r>
              <w:rPr>
                <w:rFonts w:hint="default" w:ascii="Times New Roman" w:hAnsi="Times New Roman" w:eastAsia="宋体" w:cs="Times New Roman"/>
              </w:rPr>
              <w:t>单位</w:t>
            </w:r>
          </w:p>
        </w:tc>
        <w:tc>
          <w:tcPr>
            <w:tcW w:w="3720" w:type="pct"/>
            <w:gridSpan w:val="2"/>
            <w:noWrap w:val="0"/>
            <w:vAlign w:val="center"/>
          </w:tcPr>
          <w:p w14:paraId="551FB066">
            <w:pPr>
              <w:pStyle w:val="25"/>
              <w:spacing w:before="78" w:beforeLines="25" w:after="78" w:afterLines="25" w:line="360" w:lineRule="auto"/>
              <w:jc w:val="center"/>
              <w:rPr>
                <w:rFonts w:hint="eastAsia" w:ascii="Times New Roman" w:hAnsi="Times New Roman" w:eastAsia="宋体" w:cs="Times New Roman"/>
                <w:lang w:eastAsia="zh-CN"/>
              </w:rPr>
            </w:pPr>
            <w:r>
              <w:rPr>
                <w:rFonts w:hint="eastAsia" w:eastAsia="宋体" w:cs="Times New Roman"/>
                <w:lang w:val="en-US" w:eastAsia="zh-CN"/>
              </w:rPr>
              <w:t>t</w:t>
            </w:r>
          </w:p>
        </w:tc>
      </w:tr>
      <w:tr w14:paraId="359C9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1280" w:type="pct"/>
            <w:noWrap w:val="0"/>
            <w:vAlign w:val="center"/>
          </w:tcPr>
          <w:p w14:paraId="0787D7DA">
            <w:pPr>
              <w:pStyle w:val="25"/>
              <w:spacing w:before="78" w:beforeLines="25" w:after="78" w:afterLines="25" w:line="360" w:lineRule="auto"/>
              <w:jc w:val="center"/>
              <w:rPr>
                <w:rFonts w:hint="default" w:ascii="Times New Roman" w:hAnsi="Times New Roman" w:eastAsia="宋体" w:cs="Times New Roman"/>
              </w:rPr>
            </w:pPr>
            <w:r>
              <w:rPr>
                <w:rFonts w:hint="default" w:ascii="Times New Roman" w:hAnsi="Times New Roman" w:eastAsia="宋体" w:cs="Times New Roman"/>
              </w:rPr>
              <w:t>数值</w:t>
            </w:r>
          </w:p>
        </w:tc>
        <w:tc>
          <w:tcPr>
            <w:tcW w:w="1825" w:type="pct"/>
            <w:noWrap w:val="0"/>
            <w:vAlign w:val="center"/>
          </w:tcPr>
          <w:p w14:paraId="3FF47AE4">
            <w:pPr>
              <w:pStyle w:val="25"/>
              <w:spacing w:before="78" w:beforeLines="25" w:after="78" w:afterLines="25" w:line="360" w:lineRule="auto"/>
              <w:jc w:val="center"/>
              <w:rPr>
                <w:rFonts w:hint="default" w:ascii="Times New Roman" w:hAnsi="Times New Roman" w:eastAsia="宋体" w:cs="Times New Roman"/>
              </w:rPr>
            </w:pPr>
            <w:r>
              <w:rPr>
                <w:rFonts w:hint="default" w:ascii="Times New Roman" w:hAnsi="Times New Roman" w:eastAsia="宋体" w:cs="Times New Roman"/>
              </w:rPr>
              <w:t>填报数据</w:t>
            </w:r>
          </w:p>
        </w:tc>
        <w:tc>
          <w:tcPr>
            <w:tcW w:w="1895" w:type="pct"/>
            <w:noWrap w:val="0"/>
            <w:vAlign w:val="center"/>
          </w:tcPr>
          <w:p w14:paraId="32BF3284">
            <w:pPr>
              <w:pStyle w:val="25"/>
              <w:spacing w:before="78" w:beforeLines="25" w:after="78" w:afterLines="25" w:line="360" w:lineRule="auto"/>
              <w:jc w:val="center"/>
              <w:rPr>
                <w:rFonts w:hint="default" w:ascii="Times New Roman" w:hAnsi="Times New Roman" w:eastAsia="宋体" w:cs="Times New Roman"/>
                <w:lang w:val="en-US" w:eastAsia="zh-CN"/>
              </w:rPr>
            </w:pPr>
            <w:r>
              <w:rPr>
                <w:rFonts w:hint="eastAsia" w:eastAsia="宋体" w:cs="Times New Roman"/>
                <w:color w:val="000000"/>
                <w:kern w:val="0"/>
                <w:sz w:val="24"/>
                <w:szCs w:val="24"/>
                <w:lang w:val="en-US" w:eastAsia="zh-CN"/>
              </w:rPr>
              <w:t>44.7591</w:t>
            </w:r>
          </w:p>
        </w:tc>
      </w:tr>
      <w:tr w14:paraId="20301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0" w:type="pct"/>
            <w:noWrap w:val="0"/>
            <w:vAlign w:val="center"/>
          </w:tcPr>
          <w:p w14:paraId="1338E113">
            <w:pPr>
              <w:pStyle w:val="25"/>
              <w:spacing w:before="78" w:beforeLines="25" w:after="78" w:afterLines="25" w:line="360" w:lineRule="auto"/>
              <w:jc w:val="center"/>
              <w:rPr>
                <w:rFonts w:hint="default" w:ascii="Times New Roman" w:hAnsi="Times New Roman" w:eastAsia="宋体" w:cs="Times New Roman"/>
              </w:rPr>
            </w:pPr>
            <w:r>
              <w:rPr>
                <w:rFonts w:hint="default" w:ascii="Times New Roman" w:hAnsi="Times New Roman" w:eastAsia="宋体" w:cs="Times New Roman"/>
              </w:rPr>
              <w:t>数据来源</w:t>
            </w:r>
          </w:p>
        </w:tc>
        <w:tc>
          <w:tcPr>
            <w:tcW w:w="3720" w:type="pct"/>
            <w:gridSpan w:val="2"/>
            <w:noWrap w:val="0"/>
            <w:vAlign w:val="center"/>
          </w:tcPr>
          <w:p w14:paraId="2218C838">
            <w:pPr>
              <w:pStyle w:val="25"/>
              <w:spacing w:before="78" w:beforeLines="25" w:after="78" w:afterLines="25" w:line="360" w:lineRule="auto"/>
              <w:jc w:val="center"/>
              <w:rPr>
                <w:rFonts w:hint="default" w:ascii="Times New Roman" w:hAnsi="Times New Roman" w:eastAsia="宋体" w:cs="Times New Roman"/>
              </w:rPr>
            </w:pPr>
            <w:r>
              <w:rPr>
                <w:rFonts w:hint="eastAsia" w:eastAsia="宋体" w:cs="Times New Roman"/>
                <w:lang w:val="en-US" w:eastAsia="zh-CN"/>
              </w:rPr>
              <w:t>液位</w:t>
            </w:r>
            <w:r>
              <w:rPr>
                <w:rFonts w:hint="default" w:ascii="Times New Roman" w:hAnsi="Times New Roman" w:eastAsia="宋体" w:cs="Times New Roman"/>
              </w:rPr>
              <w:t>计计量</w:t>
            </w:r>
          </w:p>
        </w:tc>
      </w:tr>
      <w:tr w14:paraId="7182F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1280" w:type="pct"/>
            <w:noWrap w:val="0"/>
            <w:vAlign w:val="center"/>
          </w:tcPr>
          <w:p w14:paraId="0F88B880">
            <w:pPr>
              <w:pStyle w:val="25"/>
              <w:spacing w:before="78" w:beforeLines="25" w:after="78" w:afterLines="25" w:line="360" w:lineRule="auto"/>
              <w:jc w:val="center"/>
              <w:rPr>
                <w:rFonts w:hint="default" w:ascii="Times New Roman" w:hAnsi="Times New Roman" w:eastAsia="宋体" w:cs="Times New Roman"/>
              </w:rPr>
            </w:pPr>
            <w:r>
              <w:rPr>
                <w:rFonts w:hint="default" w:ascii="Times New Roman" w:hAnsi="Times New Roman" w:eastAsia="宋体" w:cs="Times New Roman"/>
              </w:rPr>
              <w:t>监测方法</w:t>
            </w:r>
          </w:p>
        </w:tc>
        <w:tc>
          <w:tcPr>
            <w:tcW w:w="3720" w:type="pct"/>
            <w:gridSpan w:val="2"/>
            <w:noWrap w:val="0"/>
            <w:vAlign w:val="center"/>
          </w:tcPr>
          <w:p w14:paraId="3113199B">
            <w:pPr>
              <w:pStyle w:val="25"/>
              <w:spacing w:before="78" w:beforeLines="25" w:after="78" w:afterLines="25" w:line="360" w:lineRule="auto"/>
              <w:jc w:val="center"/>
              <w:rPr>
                <w:rFonts w:hint="default" w:ascii="Times New Roman" w:hAnsi="Times New Roman" w:eastAsia="宋体" w:cs="Times New Roman"/>
                <w:lang w:val="en-US" w:eastAsia="zh-CN"/>
              </w:rPr>
            </w:pPr>
            <w:r>
              <w:rPr>
                <w:rFonts w:hint="eastAsia" w:eastAsia="宋体" w:cs="Times New Roman"/>
                <w:lang w:val="en-US" w:eastAsia="zh-CN"/>
              </w:rPr>
              <w:t>液位监测</w:t>
            </w:r>
          </w:p>
        </w:tc>
      </w:tr>
      <w:tr w14:paraId="45546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0" w:type="pct"/>
            <w:noWrap w:val="0"/>
            <w:vAlign w:val="center"/>
          </w:tcPr>
          <w:p w14:paraId="7222B6F9">
            <w:pPr>
              <w:pStyle w:val="25"/>
              <w:spacing w:before="78" w:beforeLines="25" w:after="78" w:afterLines="25" w:line="360" w:lineRule="auto"/>
              <w:jc w:val="center"/>
              <w:rPr>
                <w:rFonts w:hint="default" w:ascii="Times New Roman" w:hAnsi="Times New Roman" w:eastAsia="宋体" w:cs="Times New Roman"/>
              </w:rPr>
            </w:pPr>
            <w:r>
              <w:rPr>
                <w:rFonts w:hint="default" w:ascii="Times New Roman" w:hAnsi="Times New Roman" w:eastAsia="宋体" w:cs="Times New Roman"/>
              </w:rPr>
              <w:t>监测频次</w:t>
            </w:r>
          </w:p>
        </w:tc>
        <w:tc>
          <w:tcPr>
            <w:tcW w:w="3720" w:type="pct"/>
            <w:gridSpan w:val="2"/>
            <w:noWrap w:val="0"/>
            <w:vAlign w:val="center"/>
          </w:tcPr>
          <w:p w14:paraId="4B96CADB">
            <w:pPr>
              <w:pStyle w:val="25"/>
              <w:spacing w:before="78" w:beforeLines="25" w:after="78" w:afterLines="25" w:line="360" w:lineRule="auto"/>
              <w:jc w:val="center"/>
              <w:rPr>
                <w:rFonts w:hint="default" w:ascii="Times New Roman" w:hAnsi="Times New Roman" w:eastAsia="宋体" w:cs="Times New Roman"/>
                <w:lang w:val="en-US" w:eastAsia="zh-CN"/>
              </w:rPr>
            </w:pPr>
            <w:r>
              <w:rPr>
                <w:rFonts w:hint="eastAsia" w:eastAsia="宋体" w:cs="Times New Roman"/>
                <w:lang w:val="en-US" w:eastAsia="zh-CN"/>
              </w:rPr>
              <w:t>每周一检</w:t>
            </w:r>
          </w:p>
        </w:tc>
      </w:tr>
      <w:tr w14:paraId="08125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0" w:type="pct"/>
            <w:noWrap w:val="0"/>
            <w:vAlign w:val="center"/>
          </w:tcPr>
          <w:p w14:paraId="0DCACB5B">
            <w:pPr>
              <w:pStyle w:val="25"/>
              <w:spacing w:before="78" w:beforeLines="25" w:after="78" w:afterLines="25" w:line="360" w:lineRule="auto"/>
              <w:jc w:val="center"/>
              <w:rPr>
                <w:rFonts w:hint="default" w:ascii="Times New Roman" w:hAnsi="Times New Roman" w:eastAsia="宋体" w:cs="Times New Roman"/>
              </w:rPr>
            </w:pPr>
            <w:r>
              <w:rPr>
                <w:rFonts w:hint="default" w:ascii="Times New Roman" w:hAnsi="Times New Roman" w:eastAsia="宋体" w:cs="Times New Roman"/>
              </w:rPr>
              <w:t>数据缺失处理</w:t>
            </w:r>
          </w:p>
        </w:tc>
        <w:tc>
          <w:tcPr>
            <w:tcW w:w="3720" w:type="pct"/>
            <w:gridSpan w:val="2"/>
            <w:noWrap w:val="0"/>
            <w:vAlign w:val="center"/>
          </w:tcPr>
          <w:p w14:paraId="5FAA3FB7">
            <w:pPr>
              <w:pStyle w:val="25"/>
              <w:spacing w:before="78" w:beforeLines="25" w:after="78" w:afterLines="25" w:line="360" w:lineRule="auto"/>
              <w:jc w:val="center"/>
              <w:rPr>
                <w:rFonts w:hint="eastAsia" w:ascii="Times New Roman" w:hAnsi="Times New Roman" w:eastAsia="宋体" w:cs="Times New Roman"/>
                <w:lang w:eastAsia="zh-CN"/>
              </w:rPr>
            </w:pPr>
            <w:r>
              <w:rPr>
                <w:rFonts w:hint="eastAsia" w:eastAsia="宋体" w:cs="Times New Roman"/>
                <w:lang w:val="en-US" w:eastAsia="zh-CN"/>
              </w:rPr>
              <w:t>无缺失</w:t>
            </w:r>
          </w:p>
        </w:tc>
      </w:tr>
    </w:tbl>
    <w:p w14:paraId="29AB11FE">
      <w:pPr>
        <w:pStyle w:val="3"/>
        <w:bidi w:val="0"/>
        <w:rPr>
          <w:rFonts w:hint="default"/>
        </w:rPr>
      </w:pPr>
      <w:bookmarkStart w:id="23" w:name="_Toc13309"/>
      <w:r>
        <w:rPr>
          <w:rFonts w:hint="default"/>
        </w:rPr>
        <w:t>4.</w:t>
      </w:r>
      <w:r>
        <w:rPr>
          <w:rFonts w:hint="default"/>
          <w:lang w:val="en-US" w:eastAsia="zh-CN"/>
        </w:rPr>
        <w:t>2</w:t>
      </w:r>
      <w:r>
        <w:rPr>
          <w:rFonts w:hint="default"/>
        </w:rPr>
        <w:t xml:space="preserve"> 净购入电力活动水平数据及来源</w:t>
      </w:r>
      <w:bookmarkEnd w:id="22"/>
      <w:bookmarkEnd w:id="23"/>
    </w:p>
    <w:p w14:paraId="404D62DE">
      <w:pPr>
        <w:pStyle w:val="28"/>
        <w:bidi w:val="0"/>
        <w:rPr>
          <w:rFonts w:hint="default" w:ascii="Times New Roman" w:hAnsi="Times New Roman"/>
        </w:rPr>
      </w:pPr>
      <w:r>
        <w:rPr>
          <w:rFonts w:hint="default" w:ascii="Times New Roman" w:hAnsi="Times New Roman"/>
        </w:rPr>
        <w:t>表4-</w:t>
      </w:r>
      <w:r>
        <w:rPr>
          <w:rFonts w:hint="default" w:ascii="Times New Roman" w:hAnsi="Times New Roman"/>
          <w:lang w:val="en-US" w:eastAsia="zh-CN"/>
        </w:rPr>
        <w:t>2</w:t>
      </w:r>
      <w:r>
        <w:rPr>
          <w:rFonts w:hint="default" w:ascii="Times New Roman" w:hAnsi="Times New Roman"/>
        </w:rPr>
        <w:t xml:space="preserve">  净购入电力活动水平数据及来源表</w:t>
      </w:r>
    </w:p>
    <w:tbl>
      <w:tblPr>
        <w:tblStyle w:val="12"/>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535"/>
        <w:gridCol w:w="5781"/>
      </w:tblGrid>
      <w:tr w14:paraId="5E19D4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524" w:type="pct"/>
            <w:vMerge w:val="restart"/>
            <w:tcBorders>
              <w:tl2br w:val="nil"/>
              <w:tr2bl w:val="nil"/>
            </w:tcBorders>
            <w:noWrap w:val="0"/>
            <w:vAlign w:val="center"/>
          </w:tcPr>
          <w:p w14:paraId="48B25852">
            <w:pPr>
              <w:widowControl/>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数据值</w:t>
            </w:r>
          </w:p>
        </w:tc>
        <w:tc>
          <w:tcPr>
            <w:tcW w:w="3476" w:type="pct"/>
            <w:tcBorders>
              <w:tl2br w:val="nil"/>
              <w:tr2bl w:val="nil"/>
            </w:tcBorders>
            <w:noWrap w:val="0"/>
            <w:vAlign w:val="center"/>
          </w:tcPr>
          <w:p w14:paraId="141DAAE2">
            <w:pPr>
              <w:widowControl/>
              <w:ind w:left="0" w:leftChars="0" w:firstLine="0" w:firstLineChars="0"/>
              <w:jc w:val="center"/>
              <w:rPr>
                <w:rFonts w:hint="eastAsia" w:ascii="Times New Roman" w:hAnsi="Times New Roman" w:eastAsia="宋体" w:cs="Times New Roman"/>
                <w:color w:val="000000"/>
                <w:kern w:val="0"/>
                <w:sz w:val="24"/>
                <w:szCs w:val="24"/>
                <w:lang w:eastAsia="zh-CN"/>
              </w:rPr>
            </w:pPr>
            <w:r>
              <w:rPr>
                <w:rFonts w:hint="eastAsia" w:ascii="Times New Roman" w:hAnsi="Times New Roman" w:eastAsia="宋体" w:cs="Times New Roman"/>
                <w:color w:val="000000"/>
                <w:kern w:val="0"/>
                <w:sz w:val="24"/>
                <w:szCs w:val="24"/>
                <w:lang w:eastAsia="zh-CN"/>
              </w:rPr>
              <w:t>2024年</w:t>
            </w:r>
          </w:p>
        </w:tc>
      </w:tr>
      <w:tr w14:paraId="03142C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524" w:type="pct"/>
            <w:vMerge w:val="continue"/>
            <w:tcBorders>
              <w:tl2br w:val="nil"/>
              <w:tr2bl w:val="nil"/>
            </w:tcBorders>
            <w:noWrap w:val="0"/>
            <w:vAlign w:val="center"/>
          </w:tcPr>
          <w:p w14:paraId="5CF72DEB">
            <w:pPr>
              <w:widowControl/>
              <w:jc w:val="center"/>
              <w:rPr>
                <w:rFonts w:hint="default" w:ascii="Times New Roman" w:hAnsi="Times New Roman" w:eastAsia="宋体" w:cs="Times New Roman"/>
                <w:color w:val="000000"/>
                <w:kern w:val="0"/>
                <w:sz w:val="24"/>
                <w:szCs w:val="24"/>
              </w:rPr>
            </w:pPr>
          </w:p>
        </w:tc>
        <w:tc>
          <w:tcPr>
            <w:tcW w:w="3476" w:type="pct"/>
            <w:tcBorders>
              <w:tl2br w:val="nil"/>
              <w:tr2bl w:val="nil"/>
            </w:tcBorders>
            <w:noWrap w:val="0"/>
            <w:vAlign w:val="center"/>
          </w:tcPr>
          <w:p w14:paraId="38A55CCD">
            <w:pPr>
              <w:widowControl/>
              <w:ind w:left="0" w:leftChars="0" w:firstLine="0" w:firstLineChars="0"/>
              <w:jc w:val="center"/>
              <w:rPr>
                <w:rFonts w:hint="default" w:ascii="Times New Roman" w:hAnsi="Times New Roman" w:eastAsia="宋体" w:cs="Times New Roman"/>
                <w:color w:val="000000"/>
                <w:kern w:val="0"/>
                <w:sz w:val="24"/>
                <w:szCs w:val="24"/>
                <w:lang w:val="en-US"/>
              </w:rPr>
            </w:pPr>
            <w:r>
              <w:rPr>
                <w:rFonts w:hint="eastAsia" w:cs="Times New Roman"/>
                <w:color w:val="000000"/>
                <w:sz w:val="24"/>
                <w:szCs w:val="24"/>
                <w:lang w:val="en-US" w:eastAsia="zh-CN"/>
              </w:rPr>
              <w:t>972430</w:t>
            </w:r>
          </w:p>
        </w:tc>
      </w:tr>
      <w:tr w14:paraId="56D7C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524" w:type="pct"/>
            <w:tcBorders>
              <w:tl2br w:val="nil"/>
              <w:tr2bl w:val="nil"/>
            </w:tcBorders>
            <w:noWrap w:val="0"/>
            <w:vAlign w:val="center"/>
          </w:tcPr>
          <w:p w14:paraId="660C2B54">
            <w:pPr>
              <w:widowControl/>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数据项</w:t>
            </w:r>
          </w:p>
        </w:tc>
        <w:tc>
          <w:tcPr>
            <w:tcW w:w="3476" w:type="pct"/>
            <w:tcBorders>
              <w:tl2br w:val="nil"/>
              <w:tr2bl w:val="nil"/>
            </w:tcBorders>
            <w:noWrap w:val="0"/>
            <w:vAlign w:val="center"/>
          </w:tcPr>
          <w:p w14:paraId="0ACF9CB4">
            <w:pPr>
              <w:widowControl/>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净购入电力消耗量(AD</w:t>
            </w:r>
            <w:r>
              <w:rPr>
                <w:rFonts w:hint="default" w:ascii="Times New Roman" w:hAnsi="Times New Roman" w:eastAsia="宋体" w:cs="Times New Roman"/>
                <w:color w:val="000000"/>
                <w:kern w:val="0"/>
                <w:sz w:val="24"/>
                <w:szCs w:val="24"/>
                <w:vertAlign w:val="subscript"/>
              </w:rPr>
              <w:t>电力</w:t>
            </w:r>
            <w:r>
              <w:rPr>
                <w:rFonts w:hint="default" w:ascii="Times New Roman" w:hAnsi="Times New Roman" w:eastAsia="宋体" w:cs="Times New Roman"/>
                <w:color w:val="000000"/>
                <w:kern w:val="0"/>
                <w:sz w:val="24"/>
                <w:szCs w:val="24"/>
              </w:rPr>
              <w:t>)</w:t>
            </w:r>
          </w:p>
        </w:tc>
      </w:tr>
      <w:tr w14:paraId="29DC6A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524" w:type="pct"/>
            <w:tcBorders>
              <w:tl2br w:val="nil"/>
              <w:tr2bl w:val="nil"/>
            </w:tcBorders>
            <w:noWrap w:val="0"/>
            <w:vAlign w:val="center"/>
          </w:tcPr>
          <w:p w14:paraId="41B8E729">
            <w:pPr>
              <w:widowControl/>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单位</w:t>
            </w:r>
          </w:p>
        </w:tc>
        <w:tc>
          <w:tcPr>
            <w:tcW w:w="3476" w:type="pct"/>
            <w:tcBorders>
              <w:tl2br w:val="nil"/>
              <w:tr2bl w:val="nil"/>
            </w:tcBorders>
            <w:noWrap w:val="0"/>
            <w:vAlign w:val="center"/>
          </w:tcPr>
          <w:p w14:paraId="1740261C">
            <w:pPr>
              <w:widowControl/>
              <w:ind w:left="0" w:leftChars="0" w:firstLine="0" w:firstLineChars="0"/>
              <w:jc w:val="center"/>
              <w:rPr>
                <w:rFonts w:hint="default" w:ascii="Times New Roman" w:hAnsi="Times New Roman" w:eastAsia="宋体" w:cs="Times New Roman"/>
                <w:color w:val="000000"/>
                <w:kern w:val="0"/>
                <w:sz w:val="24"/>
                <w:szCs w:val="24"/>
              </w:rPr>
            </w:pPr>
            <w:r>
              <w:rPr>
                <w:rFonts w:hint="eastAsia" w:eastAsia="宋体" w:cs="Times New Roman"/>
                <w:color w:val="000000"/>
                <w:kern w:val="0"/>
                <w:sz w:val="24"/>
                <w:szCs w:val="24"/>
                <w:lang w:val="en-US" w:eastAsia="zh-CN"/>
              </w:rPr>
              <w:t>K</w:t>
            </w:r>
            <w:r>
              <w:rPr>
                <w:rFonts w:hint="default" w:ascii="Times New Roman" w:hAnsi="Times New Roman" w:eastAsia="宋体" w:cs="Times New Roman"/>
                <w:color w:val="000000"/>
                <w:kern w:val="0"/>
                <w:sz w:val="24"/>
                <w:szCs w:val="24"/>
              </w:rPr>
              <w:t>Wh</w:t>
            </w:r>
          </w:p>
        </w:tc>
      </w:tr>
      <w:tr w14:paraId="46D320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524" w:type="pct"/>
            <w:tcBorders>
              <w:tl2br w:val="nil"/>
              <w:tr2bl w:val="nil"/>
            </w:tcBorders>
            <w:noWrap w:val="0"/>
            <w:vAlign w:val="center"/>
          </w:tcPr>
          <w:p w14:paraId="05FF0D7E">
            <w:pPr>
              <w:widowControl/>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数据来源</w:t>
            </w:r>
          </w:p>
        </w:tc>
        <w:tc>
          <w:tcPr>
            <w:tcW w:w="3476" w:type="pct"/>
            <w:tcBorders>
              <w:tl2br w:val="nil"/>
              <w:tr2bl w:val="nil"/>
            </w:tcBorders>
            <w:noWrap w:val="0"/>
            <w:vAlign w:val="center"/>
          </w:tcPr>
          <w:p w14:paraId="6014E6FD">
            <w:pPr>
              <w:widowControl/>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w:t>
            </w:r>
            <w:r>
              <w:rPr>
                <w:rFonts w:hint="eastAsia" w:ascii="Times New Roman" w:hAnsi="Times New Roman" w:eastAsia="宋体" w:cs="Times New Roman"/>
                <w:color w:val="000000"/>
                <w:kern w:val="0"/>
                <w:sz w:val="24"/>
                <w:szCs w:val="24"/>
                <w:lang w:eastAsia="zh-CN"/>
              </w:rPr>
              <w:t>2024年</w:t>
            </w:r>
            <w:r>
              <w:rPr>
                <w:rFonts w:hint="default" w:ascii="Times New Roman" w:hAnsi="Times New Roman" w:eastAsia="宋体" w:cs="Times New Roman"/>
                <w:color w:val="000000"/>
                <w:kern w:val="0"/>
                <w:sz w:val="24"/>
                <w:szCs w:val="24"/>
              </w:rPr>
              <w:t>电费明细账》</w:t>
            </w:r>
          </w:p>
        </w:tc>
      </w:tr>
      <w:tr w14:paraId="1A68A8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524" w:type="pct"/>
            <w:tcBorders>
              <w:tl2br w:val="nil"/>
              <w:tr2bl w:val="nil"/>
            </w:tcBorders>
            <w:noWrap w:val="0"/>
            <w:vAlign w:val="center"/>
          </w:tcPr>
          <w:p w14:paraId="6082D2AA">
            <w:pPr>
              <w:widowControl/>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监测方法</w:t>
            </w:r>
          </w:p>
        </w:tc>
        <w:tc>
          <w:tcPr>
            <w:tcW w:w="3476" w:type="pct"/>
            <w:tcBorders>
              <w:tl2br w:val="nil"/>
              <w:tr2bl w:val="nil"/>
            </w:tcBorders>
            <w:noWrap w:val="0"/>
            <w:vAlign w:val="center"/>
          </w:tcPr>
          <w:p w14:paraId="20963940">
            <w:pPr>
              <w:widowControl/>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电能表</w:t>
            </w:r>
          </w:p>
        </w:tc>
      </w:tr>
      <w:tr w14:paraId="194489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524" w:type="pct"/>
            <w:tcBorders>
              <w:tl2br w:val="nil"/>
              <w:tr2bl w:val="nil"/>
            </w:tcBorders>
            <w:noWrap w:val="0"/>
            <w:vAlign w:val="center"/>
          </w:tcPr>
          <w:p w14:paraId="69BCBEB9">
            <w:pPr>
              <w:widowControl/>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监测频次</w:t>
            </w:r>
          </w:p>
        </w:tc>
        <w:tc>
          <w:tcPr>
            <w:tcW w:w="3476" w:type="pct"/>
            <w:tcBorders>
              <w:tl2br w:val="nil"/>
              <w:tr2bl w:val="nil"/>
            </w:tcBorders>
            <w:noWrap w:val="0"/>
            <w:vAlign w:val="center"/>
          </w:tcPr>
          <w:p w14:paraId="413F6C36">
            <w:pPr>
              <w:widowControl/>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实时测量，电力公司每月结算</w:t>
            </w:r>
          </w:p>
        </w:tc>
      </w:tr>
      <w:tr w14:paraId="34A7DB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524" w:type="pct"/>
            <w:tcBorders>
              <w:tl2br w:val="nil"/>
              <w:tr2bl w:val="nil"/>
            </w:tcBorders>
            <w:noWrap w:val="0"/>
            <w:vAlign w:val="center"/>
          </w:tcPr>
          <w:p w14:paraId="3454A01B">
            <w:pPr>
              <w:widowControl/>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记录频次</w:t>
            </w:r>
          </w:p>
        </w:tc>
        <w:tc>
          <w:tcPr>
            <w:tcW w:w="3476" w:type="pct"/>
            <w:tcBorders>
              <w:tl2br w:val="nil"/>
              <w:tr2bl w:val="nil"/>
            </w:tcBorders>
            <w:noWrap w:val="0"/>
            <w:vAlign w:val="center"/>
          </w:tcPr>
          <w:p w14:paraId="57D07C69">
            <w:pPr>
              <w:widowControl/>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每月汇总</w:t>
            </w:r>
          </w:p>
        </w:tc>
      </w:tr>
      <w:tr w14:paraId="1B2C6B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524" w:type="pct"/>
            <w:tcBorders>
              <w:tl2br w:val="nil"/>
              <w:tr2bl w:val="nil"/>
            </w:tcBorders>
            <w:noWrap w:val="0"/>
            <w:vAlign w:val="center"/>
          </w:tcPr>
          <w:p w14:paraId="731D97C7">
            <w:pPr>
              <w:widowControl/>
              <w:ind w:left="0" w:leftChars="0" w:firstLine="0" w:firstLineChars="0"/>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数据缺失处理</w:t>
            </w:r>
          </w:p>
        </w:tc>
        <w:tc>
          <w:tcPr>
            <w:tcW w:w="3476" w:type="pct"/>
            <w:tcBorders>
              <w:tl2br w:val="nil"/>
              <w:tr2bl w:val="nil"/>
            </w:tcBorders>
            <w:noWrap w:val="0"/>
            <w:vAlign w:val="center"/>
          </w:tcPr>
          <w:p w14:paraId="19F4FED8">
            <w:pPr>
              <w:widowControl/>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财务缴款发票和单据</w:t>
            </w:r>
          </w:p>
        </w:tc>
      </w:tr>
    </w:tbl>
    <w:p w14:paraId="19E3A462">
      <w:pPr>
        <w:spacing w:line="360" w:lineRule="auto"/>
        <w:ind w:firstLine="480" w:firstLineChars="200"/>
        <w:jc w:val="left"/>
        <w:rPr>
          <w:rFonts w:hint="default" w:ascii="Times New Roman" w:hAnsi="Times New Roman" w:eastAsia="宋体" w:cs="Times New Roman"/>
          <w:sz w:val="24"/>
          <w:szCs w:val="24"/>
        </w:rPr>
      </w:pPr>
    </w:p>
    <w:p w14:paraId="1FD0D504">
      <w:pPr>
        <w:spacing w:line="360" w:lineRule="auto"/>
        <w:ind w:firstLine="480" w:firstLineChars="200"/>
        <w:jc w:val="left"/>
        <w:rPr>
          <w:rFonts w:hint="default" w:ascii="Times New Roman" w:hAnsi="Times New Roman" w:eastAsia="宋体" w:cs="Times New Roman"/>
          <w:sz w:val="24"/>
          <w:szCs w:val="24"/>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0B9E9CD5">
      <w:pPr>
        <w:pStyle w:val="2"/>
        <w:keepNext/>
        <w:keepLines/>
        <w:pageBreakBefore w:val="0"/>
        <w:widowControl w:val="0"/>
        <w:kinsoku/>
        <w:wordWrap/>
        <w:overflowPunct/>
        <w:topLinePunct w:val="0"/>
        <w:autoSpaceDE/>
        <w:autoSpaceDN/>
        <w:bidi w:val="0"/>
        <w:adjustRightInd/>
        <w:snapToGrid/>
        <w:spacing w:after="40" w:line="579" w:lineRule="auto"/>
        <w:textAlignment w:val="auto"/>
        <w:rPr>
          <w:rFonts w:hint="default"/>
        </w:rPr>
      </w:pPr>
      <w:bookmarkStart w:id="24" w:name="_Toc23093"/>
      <w:bookmarkStart w:id="25" w:name="_Toc24849"/>
      <w:r>
        <w:rPr>
          <w:rFonts w:hint="default"/>
        </w:rPr>
        <w:t>5  排放因子数据及来源说明</w:t>
      </w:r>
      <w:bookmarkEnd w:id="24"/>
      <w:bookmarkEnd w:id="25"/>
    </w:p>
    <w:p w14:paraId="3E13E0D2">
      <w:pPr>
        <w:pStyle w:val="3"/>
        <w:keepNext/>
        <w:keepLines/>
        <w:pageBreakBefore w:val="0"/>
        <w:widowControl w:val="0"/>
        <w:kinsoku/>
        <w:wordWrap/>
        <w:overflowPunct/>
        <w:topLinePunct w:val="0"/>
        <w:autoSpaceDE/>
        <w:autoSpaceDN/>
        <w:bidi w:val="0"/>
        <w:adjustRightInd/>
        <w:snapToGrid/>
        <w:spacing w:before="40" w:after="40" w:line="416" w:lineRule="auto"/>
        <w:textAlignment w:val="auto"/>
        <w:rPr>
          <w:rFonts w:hint="default"/>
        </w:rPr>
      </w:pPr>
      <w:bookmarkStart w:id="26" w:name="_Toc17117"/>
      <w:bookmarkStart w:id="27" w:name="_Toc24638"/>
      <w:r>
        <w:rPr>
          <w:rFonts w:hint="default"/>
        </w:rPr>
        <w:t>5.1 化石燃料排放因子数据及来源</w:t>
      </w:r>
      <w:bookmarkEnd w:id="26"/>
      <w:bookmarkEnd w:id="27"/>
    </w:p>
    <w:p w14:paraId="7760A297">
      <w:pPr>
        <w:pStyle w:val="28"/>
        <w:bidi w:val="0"/>
        <w:rPr>
          <w:rFonts w:hint="default"/>
        </w:rPr>
      </w:pPr>
      <w:r>
        <w:rPr>
          <w:rFonts w:hint="default"/>
        </w:rPr>
        <w:t xml:space="preserve">5-1  </w:t>
      </w:r>
      <w:r>
        <w:rPr>
          <w:rFonts w:hint="eastAsia"/>
          <w:lang w:val="en-US" w:eastAsia="zh-CN"/>
        </w:rPr>
        <w:t>柴油</w:t>
      </w:r>
      <w:r>
        <w:rPr>
          <w:rFonts w:hint="default"/>
        </w:rPr>
        <w:t>排放因子数据及来源表</w:t>
      </w:r>
    </w:p>
    <w:tbl>
      <w:tblPr>
        <w:tblStyle w:val="12"/>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899"/>
        <w:gridCol w:w="3822"/>
        <w:gridCol w:w="4059"/>
        <w:gridCol w:w="4188"/>
      </w:tblGrid>
      <w:tr w14:paraId="051A5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80" w:type="pct"/>
            <w:noWrap w:val="0"/>
            <w:vAlign w:val="center"/>
          </w:tcPr>
          <w:p w14:paraId="0B550D4C">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数据值</w:t>
            </w:r>
          </w:p>
        </w:tc>
        <w:tc>
          <w:tcPr>
            <w:tcW w:w="1368" w:type="pct"/>
            <w:noWrap w:val="0"/>
            <w:vAlign w:val="center"/>
          </w:tcPr>
          <w:p w14:paraId="48014296">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eastAsia" w:ascii="Times New Roman" w:hAnsi="Times New Roman" w:cs="Times New Roman"/>
                <w:color w:val="000000"/>
                <w:sz w:val="24"/>
                <w:szCs w:val="24"/>
                <w:lang w:val="en-US" w:eastAsia="zh-CN"/>
              </w:rPr>
              <w:t>43.33</w:t>
            </w:r>
          </w:p>
        </w:tc>
        <w:tc>
          <w:tcPr>
            <w:tcW w:w="1453" w:type="pct"/>
            <w:noWrap w:val="0"/>
            <w:vAlign w:val="center"/>
          </w:tcPr>
          <w:p w14:paraId="210582DA">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eastAsia" w:ascii="Times New Roman" w:hAnsi="Times New Roman" w:cs="Times New Roman"/>
                <w:color w:val="000000"/>
                <w:sz w:val="24"/>
                <w:szCs w:val="24"/>
                <w:lang w:val="en-US" w:eastAsia="zh-CN"/>
              </w:rPr>
              <w:t>20.20×10</w:t>
            </w:r>
            <w:r>
              <w:rPr>
                <w:rFonts w:hint="eastAsia" w:ascii="Times New Roman" w:hAnsi="Times New Roman" w:cs="Times New Roman"/>
                <w:color w:val="000000"/>
                <w:sz w:val="24"/>
                <w:szCs w:val="24"/>
                <w:vertAlign w:val="superscript"/>
                <w:lang w:val="en-US" w:eastAsia="zh-CN"/>
              </w:rPr>
              <w:t>-3</w:t>
            </w:r>
          </w:p>
        </w:tc>
        <w:tc>
          <w:tcPr>
            <w:tcW w:w="1500" w:type="pct"/>
            <w:noWrap w:val="0"/>
            <w:vAlign w:val="center"/>
          </w:tcPr>
          <w:p w14:paraId="23397DBA">
            <w:pPr>
              <w:widowControl/>
              <w:spacing w:line="360" w:lineRule="auto"/>
              <w:ind w:left="0" w:leftChars="0" w:firstLine="0" w:firstLineChars="0"/>
              <w:jc w:val="center"/>
              <w:rPr>
                <w:rFonts w:hint="eastAsia" w:ascii="Times New Roman" w:hAnsi="Times New Roman" w:eastAsia="宋体" w:cs="Times New Roman"/>
                <w:kern w:val="0"/>
                <w:sz w:val="24"/>
                <w:szCs w:val="24"/>
                <w:lang w:val="en-US" w:eastAsia="zh-CN"/>
              </w:rPr>
            </w:pPr>
            <w:r>
              <w:rPr>
                <w:rFonts w:hint="default" w:ascii="Times New Roman" w:hAnsi="Times New Roman" w:eastAsia="宋体" w:cs="Times New Roman"/>
                <w:kern w:val="0"/>
                <w:sz w:val="24"/>
                <w:szCs w:val="24"/>
              </w:rPr>
              <w:t>9</w:t>
            </w:r>
            <w:r>
              <w:rPr>
                <w:rFonts w:hint="eastAsia" w:ascii="Times New Roman" w:hAnsi="Times New Roman" w:eastAsia="宋体" w:cs="Times New Roman"/>
                <w:kern w:val="0"/>
                <w:sz w:val="24"/>
                <w:szCs w:val="24"/>
                <w:lang w:val="en-US" w:eastAsia="zh-CN"/>
              </w:rPr>
              <w:t>8</w:t>
            </w:r>
          </w:p>
        </w:tc>
      </w:tr>
      <w:tr w14:paraId="203726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80" w:type="pct"/>
            <w:noWrap w:val="0"/>
            <w:vAlign w:val="center"/>
          </w:tcPr>
          <w:p w14:paraId="7828E676">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数据项</w:t>
            </w:r>
          </w:p>
        </w:tc>
        <w:tc>
          <w:tcPr>
            <w:tcW w:w="1368" w:type="pct"/>
            <w:noWrap w:val="0"/>
            <w:vAlign w:val="center"/>
          </w:tcPr>
          <w:p w14:paraId="08B79EC5">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低位发热量</w:t>
            </w:r>
          </w:p>
        </w:tc>
        <w:tc>
          <w:tcPr>
            <w:tcW w:w="1453" w:type="pct"/>
            <w:noWrap w:val="0"/>
            <w:vAlign w:val="center"/>
          </w:tcPr>
          <w:p w14:paraId="219C1699">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单位热值含碳量</w:t>
            </w:r>
          </w:p>
        </w:tc>
        <w:tc>
          <w:tcPr>
            <w:tcW w:w="1500" w:type="pct"/>
            <w:noWrap w:val="0"/>
            <w:vAlign w:val="center"/>
          </w:tcPr>
          <w:p w14:paraId="5CF73628">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碳氧化率</w:t>
            </w:r>
          </w:p>
        </w:tc>
      </w:tr>
      <w:tr w14:paraId="3A4521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80" w:type="pct"/>
            <w:noWrap w:val="0"/>
            <w:vAlign w:val="center"/>
          </w:tcPr>
          <w:p w14:paraId="3675A96B">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单位</w:t>
            </w:r>
          </w:p>
        </w:tc>
        <w:tc>
          <w:tcPr>
            <w:tcW w:w="1368" w:type="pct"/>
            <w:noWrap w:val="0"/>
            <w:vAlign w:val="center"/>
          </w:tcPr>
          <w:p w14:paraId="0B3DCA7A">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GJ/10</w:t>
            </w:r>
            <w:r>
              <w:rPr>
                <w:rFonts w:hint="default" w:ascii="Times New Roman" w:hAnsi="Times New Roman" w:eastAsia="宋体" w:cs="Times New Roman"/>
                <w:kern w:val="0"/>
                <w:sz w:val="24"/>
                <w:szCs w:val="24"/>
                <w:vertAlign w:val="superscript"/>
              </w:rPr>
              <w:t xml:space="preserve">4 </w:t>
            </w:r>
            <w:r>
              <w:rPr>
                <w:rFonts w:hint="default" w:ascii="Times New Roman" w:hAnsi="Times New Roman" w:eastAsia="宋体" w:cs="Times New Roman"/>
                <w:kern w:val="0"/>
                <w:sz w:val="24"/>
                <w:szCs w:val="24"/>
              </w:rPr>
              <w:t>Nm</w:t>
            </w:r>
            <w:r>
              <w:rPr>
                <w:rFonts w:hint="default" w:ascii="Times New Roman" w:hAnsi="Times New Roman" w:eastAsia="宋体" w:cs="Times New Roman"/>
                <w:kern w:val="0"/>
                <w:sz w:val="24"/>
                <w:szCs w:val="24"/>
                <w:vertAlign w:val="superscript"/>
              </w:rPr>
              <w:t>3</w:t>
            </w:r>
          </w:p>
        </w:tc>
        <w:tc>
          <w:tcPr>
            <w:tcW w:w="1453" w:type="pct"/>
            <w:noWrap w:val="0"/>
            <w:vAlign w:val="center"/>
          </w:tcPr>
          <w:p w14:paraId="39555FD4">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t C/GJ</w:t>
            </w:r>
          </w:p>
        </w:tc>
        <w:tc>
          <w:tcPr>
            <w:tcW w:w="1500" w:type="pct"/>
            <w:noWrap w:val="0"/>
            <w:vAlign w:val="center"/>
          </w:tcPr>
          <w:p w14:paraId="329713D1">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w:t>
            </w:r>
          </w:p>
        </w:tc>
      </w:tr>
      <w:tr w14:paraId="524B45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80" w:type="pct"/>
            <w:noWrap w:val="0"/>
            <w:vAlign w:val="center"/>
          </w:tcPr>
          <w:p w14:paraId="7BAD3D14">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数据来源</w:t>
            </w:r>
          </w:p>
        </w:tc>
        <w:tc>
          <w:tcPr>
            <w:tcW w:w="1368" w:type="pct"/>
            <w:noWrap w:val="0"/>
            <w:vAlign w:val="center"/>
          </w:tcPr>
          <w:p w14:paraId="45498999">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sz w:val="24"/>
                <w:szCs w:val="24"/>
              </w:rPr>
              <w:t>《工业其他行业企业温室气体排放核算方法与报告指南（试行）》</w:t>
            </w:r>
          </w:p>
        </w:tc>
        <w:tc>
          <w:tcPr>
            <w:tcW w:w="1453" w:type="pct"/>
            <w:noWrap w:val="0"/>
            <w:vAlign w:val="center"/>
          </w:tcPr>
          <w:p w14:paraId="5AEA91A1">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sz w:val="24"/>
                <w:szCs w:val="24"/>
              </w:rPr>
              <w:t>《工业其他行业企业温室气体排放核算方法与报告指南（试行）》</w:t>
            </w:r>
          </w:p>
        </w:tc>
        <w:tc>
          <w:tcPr>
            <w:tcW w:w="1500" w:type="pct"/>
            <w:noWrap w:val="0"/>
            <w:vAlign w:val="center"/>
          </w:tcPr>
          <w:p w14:paraId="69E98984">
            <w:pPr>
              <w:keepNext w:val="0"/>
              <w:keepLines w:val="0"/>
              <w:widowControl/>
              <w:suppressLineNumbers w:val="0"/>
              <w:spacing w:line="24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color w:val="000000"/>
                <w:kern w:val="0"/>
                <w:sz w:val="24"/>
                <w:szCs w:val="24"/>
                <w:lang w:val="en-US" w:eastAsia="zh-CN" w:bidi="ar"/>
              </w:rPr>
              <w:t>《工业其他行业企业温室气体排放核算方法与报告指南（试行）》</w:t>
            </w:r>
          </w:p>
        </w:tc>
      </w:tr>
    </w:tbl>
    <w:p w14:paraId="00A7DCA2">
      <w:pPr>
        <w:pStyle w:val="3"/>
        <w:bidi w:val="0"/>
        <w:rPr>
          <w:rFonts w:hint="default"/>
        </w:rPr>
      </w:pPr>
      <w:bookmarkStart w:id="28" w:name="_Toc31597"/>
      <w:bookmarkStart w:id="29" w:name="_Toc1217"/>
      <w:r>
        <w:rPr>
          <w:rFonts w:hint="default"/>
        </w:rPr>
        <w:t>5.2 净购入电力排放因子数据及来源</w:t>
      </w:r>
      <w:bookmarkEnd w:id="28"/>
      <w:bookmarkEnd w:id="29"/>
    </w:p>
    <w:p w14:paraId="679BA7FD">
      <w:pPr>
        <w:pStyle w:val="28"/>
        <w:bidi w:val="0"/>
        <w:rPr>
          <w:rFonts w:hint="default"/>
        </w:rPr>
      </w:pPr>
      <w:r>
        <w:rPr>
          <w:rFonts w:hint="default"/>
        </w:rPr>
        <w:t>5-</w:t>
      </w:r>
      <w:r>
        <w:rPr>
          <w:rFonts w:hint="eastAsia"/>
          <w:lang w:val="en-US" w:eastAsia="zh-CN"/>
        </w:rPr>
        <w:t>3</w:t>
      </w:r>
      <w:r>
        <w:rPr>
          <w:rFonts w:hint="default"/>
        </w:rPr>
        <w:t xml:space="preserve">  净购入电力排放因子数据及来源表</w:t>
      </w:r>
    </w:p>
    <w:tbl>
      <w:tblPr>
        <w:tblStyle w:val="12"/>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140"/>
        <w:gridCol w:w="11828"/>
      </w:tblGrid>
      <w:tr w14:paraId="17F4F1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66" w:type="pct"/>
            <w:noWrap w:val="0"/>
            <w:vAlign w:val="center"/>
          </w:tcPr>
          <w:p w14:paraId="7D0AEC40">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数据值</w:t>
            </w:r>
          </w:p>
        </w:tc>
        <w:tc>
          <w:tcPr>
            <w:tcW w:w="4234" w:type="pct"/>
            <w:noWrap w:val="0"/>
            <w:vAlign w:val="center"/>
          </w:tcPr>
          <w:p w14:paraId="25EED136">
            <w:pPr>
              <w:widowControl/>
              <w:spacing w:line="360" w:lineRule="auto"/>
              <w:ind w:left="0" w:leftChars="0" w:firstLine="0" w:firstLineChars="0"/>
              <w:jc w:val="center"/>
              <w:rPr>
                <w:rFonts w:hint="default" w:ascii="Times New Roman" w:hAnsi="Times New Roman" w:eastAsia="宋体" w:cs="Times New Roman"/>
                <w:kern w:val="0"/>
                <w:sz w:val="24"/>
                <w:szCs w:val="24"/>
                <w:lang w:val="en-US" w:eastAsia="zh-CN"/>
              </w:rPr>
            </w:pPr>
            <w:r>
              <w:rPr>
                <w:rFonts w:hint="default" w:ascii="Times New Roman" w:hAnsi="Times New Roman" w:eastAsia="宋体" w:cs="Times New Roman"/>
                <w:kern w:val="0"/>
                <w:sz w:val="24"/>
                <w:szCs w:val="24"/>
              </w:rPr>
              <w:t>0.</w:t>
            </w:r>
            <w:r>
              <w:rPr>
                <w:rFonts w:hint="eastAsia" w:ascii="Times New Roman" w:hAnsi="Times New Roman" w:eastAsia="宋体" w:cs="Times New Roman"/>
                <w:kern w:val="0"/>
                <w:sz w:val="24"/>
                <w:szCs w:val="24"/>
                <w:lang w:val="en-US" w:eastAsia="zh-CN"/>
              </w:rPr>
              <w:t>6782</w:t>
            </w:r>
          </w:p>
        </w:tc>
      </w:tr>
      <w:tr w14:paraId="1450CB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66" w:type="pct"/>
            <w:noWrap w:val="0"/>
            <w:vAlign w:val="center"/>
          </w:tcPr>
          <w:p w14:paraId="0CE39969">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数据项</w:t>
            </w:r>
          </w:p>
        </w:tc>
        <w:tc>
          <w:tcPr>
            <w:tcW w:w="4234" w:type="pct"/>
            <w:noWrap w:val="0"/>
            <w:vAlign w:val="center"/>
          </w:tcPr>
          <w:p w14:paraId="192C50A6">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CO2排放因子</w:t>
            </w:r>
          </w:p>
        </w:tc>
      </w:tr>
      <w:tr w14:paraId="5D5483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66" w:type="pct"/>
            <w:noWrap w:val="0"/>
            <w:vAlign w:val="center"/>
          </w:tcPr>
          <w:p w14:paraId="561607A6">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单位</w:t>
            </w:r>
          </w:p>
        </w:tc>
        <w:tc>
          <w:tcPr>
            <w:tcW w:w="4234" w:type="pct"/>
            <w:noWrap w:val="0"/>
            <w:vAlign w:val="center"/>
          </w:tcPr>
          <w:p w14:paraId="2DA2B7D5">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t CO2/MWh</w:t>
            </w:r>
          </w:p>
        </w:tc>
      </w:tr>
      <w:tr w14:paraId="05CC7C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66" w:type="pct"/>
            <w:noWrap w:val="0"/>
            <w:vAlign w:val="center"/>
          </w:tcPr>
          <w:p w14:paraId="43BAA3ED">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数据来源</w:t>
            </w:r>
          </w:p>
        </w:tc>
        <w:tc>
          <w:tcPr>
            <w:tcW w:w="4234" w:type="pct"/>
            <w:noWrap w:val="0"/>
            <w:vAlign w:val="center"/>
          </w:tcPr>
          <w:p w14:paraId="4CCAF38C">
            <w:pPr>
              <w:widowControl/>
              <w:spacing w:line="360" w:lineRule="auto"/>
              <w:ind w:left="0" w:lef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lang w:eastAsia="zh-CN"/>
              </w:rPr>
              <w:t>中华人民共和国生态环境部</w:t>
            </w:r>
          </w:p>
        </w:tc>
      </w:tr>
    </w:tbl>
    <w:p w14:paraId="50DC72AF">
      <w:pPr>
        <w:spacing w:line="360" w:lineRule="auto"/>
        <w:ind w:left="0" w:leftChars="0" w:firstLine="0" w:firstLineChars="0"/>
        <w:jc w:val="left"/>
        <w:rPr>
          <w:rFonts w:hint="default" w:ascii="Times New Roman" w:hAnsi="Times New Roman" w:eastAsia="宋体" w:cs="Times New Roman"/>
          <w:sz w:val="24"/>
          <w:szCs w:val="24"/>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720" w:num="1"/>
          <w:docGrid w:type="lines" w:linePitch="312" w:charSpace="0"/>
        </w:sectPr>
      </w:pPr>
    </w:p>
    <w:p w14:paraId="1310FEF5">
      <w:pPr>
        <w:pStyle w:val="28"/>
        <w:bidi w:val="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表A.1  报告主体</w:t>
      </w:r>
      <w:r>
        <w:rPr>
          <w:rFonts w:hint="eastAsia" w:ascii="Times New Roman" w:hAnsi="Times New Roman" w:eastAsia="宋体" w:cs="Times New Roman"/>
          <w:sz w:val="24"/>
          <w:szCs w:val="24"/>
          <w:u w:val="single"/>
          <w:lang w:eastAsia="zh-CN"/>
        </w:rPr>
        <w:t>2024年</w:t>
      </w:r>
      <w:r>
        <w:rPr>
          <w:rFonts w:hint="default" w:ascii="Times New Roman" w:hAnsi="Times New Roman" w:eastAsia="宋体" w:cs="Times New Roman"/>
          <w:sz w:val="24"/>
          <w:szCs w:val="24"/>
        </w:rPr>
        <w:t>温室气体排放量报告</w:t>
      </w:r>
    </w:p>
    <w:tbl>
      <w:tblPr>
        <w:tblStyle w:val="12"/>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871"/>
        <w:gridCol w:w="2226"/>
        <w:gridCol w:w="2209"/>
      </w:tblGrid>
      <w:tr w14:paraId="7DC27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2" w:hRule="atLeast"/>
        </w:trPr>
        <w:tc>
          <w:tcPr>
            <w:tcW w:w="3871" w:type="dxa"/>
            <w:tcBorders>
              <w:top w:val="single" w:color="000000" w:sz="8" w:space="0"/>
              <w:left w:val="single" w:color="000000" w:sz="8" w:space="0"/>
              <w:bottom w:val="single" w:color="000000" w:sz="8" w:space="0"/>
              <w:right w:val="single" w:color="000000" w:sz="8" w:space="0"/>
            </w:tcBorders>
            <w:shd w:val="clear" w:color="auto" w:fill="auto"/>
            <w:vAlign w:val="top"/>
          </w:tcPr>
          <w:p w14:paraId="0E43C7E9">
            <w:pPr>
              <w:keepNext w:val="0"/>
              <w:keepLines w:val="0"/>
              <w:widowControl/>
              <w:suppressLineNumbers w:val="0"/>
              <w:ind w:left="0" w:leftChars="0" w:firstLine="0" w:firstLineChars="0"/>
              <w:jc w:val="both"/>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排放源的类别</w:t>
            </w:r>
          </w:p>
        </w:tc>
        <w:tc>
          <w:tcPr>
            <w:tcW w:w="2226" w:type="dxa"/>
            <w:tcBorders>
              <w:top w:val="single" w:color="000000" w:sz="8" w:space="0"/>
              <w:left w:val="single" w:color="000000" w:sz="8" w:space="0"/>
              <w:bottom w:val="single" w:color="000000" w:sz="8" w:space="0"/>
              <w:right w:val="single" w:color="000000" w:sz="8" w:space="0"/>
            </w:tcBorders>
            <w:shd w:val="clear" w:color="auto" w:fill="auto"/>
            <w:vAlign w:val="top"/>
          </w:tcPr>
          <w:p w14:paraId="2CCCD7E7">
            <w:pPr>
              <w:keepNext w:val="0"/>
              <w:keepLines w:val="0"/>
              <w:widowControl/>
              <w:suppressLineNumbers w:val="0"/>
              <w:spacing w:line="240" w:lineRule="auto"/>
              <w:ind w:left="0" w:leftChars="0" w:firstLine="0" w:firstLineChars="0"/>
              <w:jc w:val="both"/>
              <w:textAlignment w:val="top"/>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温室气体本身质量</w:t>
            </w:r>
          </w:p>
          <w:p w14:paraId="6E3F7886">
            <w:pPr>
              <w:keepNext w:val="0"/>
              <w:keepLines w:val="0"/>
              <w:widowControl/>
              <w:suppressLineNumbers w:val="0"/>
              <w:spacing w:line="240" w:lineRule="auto"/>
              <w:ind w:left="0" w:leftChars="0" w:firstLine="0" w:firstLineChars="0"/>
              <w:jc w:val="both"/>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r>
              <w:rPr>
                <w:rStyle w:val="32"/>
                <w:rFonts w:eastAsia="宋体"/>
                <w:lang w:val="en-US" w:eastAsia="zh-CN" w:bidi="ar"/>
              </w:rPr>
              <w:t>t</w:t>
            </w:r>
            <w:r>
              <w:rPr>
                <w:rStyle w:val="33"/>
                <w:lang w:val="en-US" w:eastAsia="zh-CN" w:bidi="ar"/>
              </w:rPr>
              <w:t>）</w:t>
            </w:r>
          </w:p>
        </w:tc>
        <w:tc>
          <w:tcPr>
            <w:tcW w:w="2209" w:type="dxa"/>
            <w:tcBorders>
              <w:top w:val="single" w:color="000000" w:sz="8" w:space="0"/>
              <w:left w:val="single" w:color="000000" w:sz="8" w:space="0"/>
              <w:bottom w:val="single" w:color="000000" w:sz="8" w:space="0"/>
              <w:right w:val="single" w:color="000000" w:sz="8" w:space="0"/>
            </w:tcBorders>
            <w:shd w:val="clear" w:color="auto" w:fill="auto"/>
            <w:vAlign w:val="top"/>
          </w:tcPr>
          <w:p w14:paraId="66F8B4D6">
            <w:pPr>
              <w:keepNext w:val="0"/>
              <w:keepLines w:val="0"/>
              <w:widowControl/>
              <w:suppressLineNumbers w:val="0"/>
              <w:spacing w:line="240" w:lineRule="auto"/>
              <w:ind w:left="0" w:leftChars="0" w:firstLine="0" w:firstLineChars="0"/>
              <w:jc w:val="both"/>
              <w:textAlignment w:val="top"/>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温室气体</w:t>
            </w:r>
            <w:r>
              <w:rPr>
                <w:rStyle w:val="32"/>
                <w:rFonts w:eastAsia="宋体"/>
                <w:lang w:val="en-US" w:eastAsia="zh-CN" w:bidi="ar"/>
              </w:rPr>
              <w:t>CO2</w:t>
            </w:r>
            <w:r>
              <w:rPr>
                <w:rStyle w:val="33"/>
                <w:lang w:val="en-US" w:eastAsia="zh-CN" w:bidi="ar"/>
              </w:rPr>
              <w:t>当量</w:t>
            </w:r>
          </w:p>
          <w:p w14:paraId="7DD5FB0F">
            <w:pPr>
              <w:keepNext w:val="0"/>
              <w:keepLines w:val="0"/>
              <w:widowControl/>
              <w:suppressLineNumbers w:val="0"/>
              <w:spacing w:line="240" w:lineRule="auto"/>
              <w:ind w:left="0" w:leftChars="0" w:firstLine="0" w:firstLineChars="0"/>
              <w:jc w:val="both"/>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r>
              <w:rPr>
                <w:rStyle w:val="32"/>
                <w:rFonts w:eastAsia="宋体"/>
                <w:lang w:val="en-US" w:eastAsia="zh-CN" w:bidi="ar"/>
              </w:rPr>
              <w:t>tCO</w:t>
            </w:r>
            <w:r>
              <w:rPr>
                <w:rStyle w:val="34"/>
                <w:rFonts w:eastAsia="宋体"/>
                <w:lang w:val="en-US" w:eastAsia="zh-CN" w:bidi="ar"/>
              </w:rPr>
              <w:t>2e</w:t>
            </w:r>
            <w:r>
              <w:rPr>
                <w:rStyle w:val="33"/>
                <w:lang w:val="en-US" w:eastAsia="zh-CN" w:bidi="ar"/>
              </w:rPr>
              <w:t>）</w:t>
            </w:r>
          </w:p>
        </w:tc>
      </w:tr>
      <w:tr w14:paraId="32A2D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3871" w:type="dxa"/>
            <w:tcBorders>
              <w:top w:val="single" w:color="000000" w:sz="8" w:space="0"/>
              <w:left w:val="single" w:color="000000" w:sz="8" w:space="0"/>
              <w:bottom w:val="single" w:color="000000" w:sz="8" w:space="0"/>
              <w:right w:val="single" w:color="000000" w:sz="8" w:space="0"/>
            </w:tcBorders>
            <w:shd w:val="clear" w:color="auto" w:fill="auto"/>
            <w:vAlign w:val="top"/>
          </w:tcPr>
          <w:p w14:paraId="50E11AFA">
            <w:pPr>
              <w:keepNext w:val="0"/>
              <w:keepLines w:val="0"/>
              <w:widowControl/>
              <w:suppressLineNumbers w:val="0"/>
              <w:ind w:left="0" w:leftChars="0" w:firstLine="0" w:firstLineChars="0"/>
              <w:jc w:val="both"/>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化石燃料燃烧排放量</w:t>
            </w:r>
          </w:p>
        </w:tc>
        <w:tc>
          <w:tcPr>
            <w:tcW w:w="2226" w:type="dxa"/>
            <w:tcBorders>
              <w:top w:val="single" w:color="000000" w:sz="8" w:space="0"/>
              <w:left w:val="single" w:color="000000" w:sz="8" w:space="0"/>
              <w:bottom w:val="single" w:color="000000" w:sz="8" w:space="0"/>
              <w:right w:val="single" w:color="000000" w:sz="8" w:space="0"/>
            </w:tcBorders>
            <w:shd w:val="clear" w:color="auto" w:fill="auto"/>
            <w:vAlign w:val="top"/>
          </w:tcPr>
          <w:p w14:paraId="39C0051F">
            <w:pPr>
              <w:keepNext w:val="0"/>
              <w:keepLines w:val="0"/>
              <w:widowControl/>
              <w:suppressLineNumbers w:val="0"/>
              <w:ind w:left="0" w:leftChars="0" w:firstLine="0" w:firstLineChars="0"/>
              <w:jc w:val="both"/>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0.0170</w:t>
            </w:r>
          </w:p>
        </w:tc>
        <w:tc>
          <w:tcPr>
            <w:tcW w:w="2209" w:type="dxa"/>
            <w:tcBorders>
              <w:top w:val="single" w:color="000000" w:sz="8" w:space="0"/>
              <w:left w:val="single" w:color="000000" w:sz="8" w:space="0"/>
              <w:bottom w:val="single" w:color="000000" w:sz="8" w:space="0"/>
              <w:right w:val="single" w:color="000000" w:sz="8" w:space="0"/>
            </w:tcBorders>
            <w:shd w:val="clear" w:color="auto" w:fill="auto"/>
            <w:vAlign w:val="top"/>
          </w:tcPr>
          <w:p w14:paraId="679E96FB">
            <w:pPr>
              <w:keepNext w:val="0"/>
              <w:keepLines w:val="0"/>
              <w:widowControl/>
              <w:suppressLineNumbers w:val="0"/>
              <w:ind w:left="0" w:leftChars="0" w:firstLine="0" w:firstLineChars="0"/>
              <w:jc w:val="both"/>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0.0170</w:t>
            </w:r>
          </w:p>
        </w:tc>
      </w:tr>
      <w:tr w14:paraId="19512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5" w:hRule="atLeast"/>
        </w:trPr>
        <w:tc>
          <w:tcPr>
            <w:tcW w:w="3871" w:type="dxa"/>
            <w:tcBorders>
              <w:top w:val="single" w:color="000000" w:sz="8" w:space="0"/>
              <w:left w:val="single" w:color="000000" w:sz="8" w:space="0"/>
              <w:bottom w:val="single" w:color="000000" w:sz="8" w:space="0"/>
              <w:right w:val="single" w:color="000000" w:sz="8" w:space="0"/>
            </w:tcBorders>
            <w:shd w:val="clear" w:color="auto" w:fill="auto"/>
            <w:vAlign w:val="top"/>
          </w:tcPr>
          <w:p w14:paraId="51A38E51">
            <w:pPr>
              <w:keepNext w:val="0"/>
              <w:keepLines w:val="0"/>
              <w:widowControl/>
              <w:suppressLineNumbers w:val="0"/>
              <w:ind w:left="0" w:leftChars="0" w:firstLine="0" w:firstLineChars="0"/>
              <w:jc w:val="both"/>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净购入电力和热力产生的</w:t>
            </w:r>
            <w:r>
              <w:rPr>
                <w:rStyle w:val="32"/>
                <w:rFonts w:eastAsia="宋体"/>
                <w:lang w:val="en-US" w:eastAsia="zh-CN" w:bidi="ar"/>
              </w:rPr>
              <w:t>CO</w:t>
            </w:r>
            <w:r>
              <w:rPr>
                <w:rStyle w:val="34"/>
                <w:rFonts w:eastAsia="宋体"/>
                <w:lang w:val="en-US" w:eastAsia="zh-CN" w:bidi="ar"/>
              </w:rPr>
              <w:t>2</w:t>
            </w:r>
            <w:r>
              <w:rPr>
                <w:rStyle w:val="33"/>
                <w:lang w:val="en-US" w:eastAsia="zh-CN" w:bidi="ar"/>
              </w:rPr>
              <w:t>排放</w:t>
            </w:r>
          </w:p>
        </w:tc>
        <w:tc>
          <w:tcPr>
            <w:tcW w:w="2226" w:type="dxa"/>
            <w:tcBorders>
              <w:top w:val="single" w:color="000000" w:sz="8" w:space="0"/>
              <w:left w:val="single" w:color="000000" w:sz="8" w:space="0"/>
              <w:bottom w:val="single" w:color="000000" w:sz="8" w:space="0"/>
              <w:right w:val="single" w:color="000000" w:sz="8" w:space="0"/>
            </w:tcBorders>
            <w:shd w:val="clear" w:color="auto" w:fill="auto"/>
            <w:vAlign w:val="top"/>
          </w:tcPr>
          <w:p w14:paraId="5A464894">
            <w:pPr>
              <w:keepNext w:val="0"/>
              <w:keepLines w:val="0"/>
              <w:widowControl/>
              <w:suppressLineNumbers w:val="0"/>
              <w:ind w:left="0" w:leftChars="0" w:firstLine="0" w:firstLineChars="0"/>
              <w:jc w:val="both"/>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659.5020</w:t>
            </w:r>
          </w:p>
        </w:tc>
        <w:tc>
          <w:tcPr>
            <w:tcW w:w="2209" w:type="dxa"/>
            <w:tcBorders>
              <w:top w:val="single" w:color="000000" w:sz="8" w:space="0"/>
              <w:left w:val="single" w:color="000000" w:sz="8" w:space="0"/>
              <w:bottom w:val="single" w:color="000000" w:sz="8" w:space="0"/>
              <w:right w:val="single" w:color="000000" w:sz="8" w:space="0"/>
            </w:tcBorders>
            <w:shd w:val="clear" w:color="auto" w:fill="auto"/>
            <w:vAlign w:val="top"/>
          </w:tcPr>
          <w:p w14:paraId="4213A756">
            <w:pPr>
              <w:keepNext w:val="0"/>
              <w:keepLines w:val="0"/>
              <w:widowControl/>
              <w:suppressLineNumbers w:val="0"/>
              <w:ind w:left="0" w:leftChars="0" w:firstLine="0" w:firstLineChars="0"/>
              <w:jc w:val="both"/>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659.5020</w:t>
            </w:r>
          </w:p>
        </w:tc>
      </w:tr>
      <w:tr w14:paraId="45D85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097" w:type="dxa"/>
            <w:gridSpan w:val="2"/>
            <w:tcBorders>
              <w:top w:val="single" w:color="000000" w:sz="8" w:space="0"/>
              <w:left w:val="single" w:color="000000" w:sz="8" w:space="0"/>
              <w:bottom w:val="single" w:color="000000" w:sz="8" w:space="0"/>
              <w:right w:val="single" w:color="000000" w:sz="8" w:space="0"/>
            </w:tcBorders>
            <w:shd w:val="clear" w:color="auto" w:fill="auto"/>
            <w:vAlign w:val="top"/>
          </w:tcPr>
          <w:p w14:paraId="428C75F7">
            <w:pPr>
              <w:keepNext w:val="0"/>
              <w:keepLines w:val="0"/>
              <w:widowControl/>
              <w:suppressLineNumbers w:val="0"/>
              <w:ind w:left="0" w:leftChars="0" w:firstLine="0" w:firstLineChars="0"/>
              <w:jc w:val="both"/>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企业温室气体排放总量（</w:t>
            </w:r>
            <w:r>
              <w:rPr>
                <w:rStyle w:val="32"/>
                <w:rFonts w:eastAsia="宋体"/>
                <w:lang w:val="en-US" w:eastAsia="zh-CN" w:bidi="ar"/>
              </w:rPr>
              <w:t>tCO</w:t>
            </w:r>
            <w:r>
              <w:rPr>
                <w:rStyle w:val="34"/>
                <w:rFonts w:eastAsia="宋体"/>
                <w:lang w:val="en-US" w:eastAsia="zh-CN" w:bidi="ar"/>
              </w:rPr>
              <w:t>2e</w:t>
            </w:r>
            <w:r>
              <w:rPr>
                <w:rStyle w:val="33"/>
                <w:lang w:val="en-US" w:eastAsia="zh-CN" w:bidi="ar"/>
              </w:rPr>
              <w:t>）</w:t>
            </w:r>
          </w:p>
        </w:tc>
        <w:tc>
          <w:tcPr>
            <w:tcW w:w="2209" w:type="dxa"/>
            <w:tcBorders>
              <w:top w:val="single" w:color="000000" w:sz="8" w:space="0"/>
              <w:left w:val="single" w:color="000000" w:sz="8" w:space="0"/>
              <w:bottom w:val="single" w:color="000000" w:sz="8" w:space="0"/>
              <w:right w:val="single" w:color="000000" w:sz="8" w:space="0"/>
            </w:tcBorders>
            <w:shd w:val="clear" w:color="auto" w:fill="auto"/>
            <w:vAlign w:val="top"/>
          </w:tcPr>
          <w:p w14:paraId="3B7A3824">
            <w:pPr>
              <w:keepNext w:val="0"/>
              <w:keepLines w:val="0"/>
              <w:widowControl/>
              <w:suppressLineNumbers w:val="0"/>
              <w:ind w:left="0" w:leftChars="0" w:firstLine="0" w:firstLineChars="0"/>
              <w:jc w:val="both"/>
              <w:textAlignment w:val="top"/>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659.5190</w:t>
            </w:r>
          </w:p>
        </w:tc>
      </w:tr>
    </w:tbl>
    <w:p w14:paraId="69DD6ACD">
      <w:pPr>
        <w:spacing w:line="360" w:lineRule="auto"/>
        <w:rPr>
          <w:rFonts w:hint="default" w:ascii="Times New Roman" w:hAnsi="Times New Roman" w:eastAsia="宋体" w:cs="Times New Roman"/>
          <w:sz w:val="24"/>
          <w:szCs w:val="24"/>
        </w:rPr>
      </w:pPr>
    </w:p>
    <w:p w14:paraId="23BAE635">
      <w:pPr>
        <w:pStyle w:val="28"/>
        <w:bidi w:val="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表A.2  活动数据表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9"/>
        <w:gridCol w:w="1455"/>
        <w:gridCol w:w="1417"/>
        <w:gridCol w:w="1560"/>
        <w:gridCol w:w="2205"/>
      </w:tblGrid>
      <w:tr w14:paraId="339CF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noWrap w:val="0"/>
            <w:vAlign w:val="center"/>
          </w:tcPr>
          <w:p w14:paraId="719A8C1B">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排放源类别</w:t>
            </w:r>
          </w:p>
        </w:tc>
        <w:tc>
          <w:tcPr>
            <w:tcW w:w="1455" w:type="dxa"/>
            <w:noWrap w:val="0"/>
            <w:vAlign w:val="center"/>
          </w:tcPr>
          <w:p w14:paraId="38A74B88">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燃料种类</w:t>
            </w:r>
          </w:p>
        </w:tc>
        <w:tc>
          <w:tcPr>
            <w:tcW w:w="1417" w:type="dxa"/>
            <w:noWrap w:val="0"/>
            <w:vAlign w:val="center"/>
          </w:tcPr>
          <w:p w14:paraId="1C47FC09">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计量单位</w:t>
            </w:r>
          </w:p>
        </w:tc>
        <w:tc>
          <w:tcPr>
            <w:tcW w:w="1560" w:type="dxa"/>
            <w:noWrap w:val="0"/>
            <w:vAlign w:val="center"/>
          </w:tcPr>
          <w:p w14:paraId="179BC73D">
            <w:pPr>
              <w:spacing w:line="24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消耗量</w:t>
            </w:r>
          </w:p>
          <w:p w14:paraId="119EEA98">
            <w:pPr>
              <w:spacing w:line="24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10</w:t>
            </w:r>
            <w:r>
              <w:rPr>
                <w:rFonts w:hint="default" w:ascii="Times New Roman" w:hAnsi="Times New Roman" w:eastAsia="宋体" w:cs="Times New Roman"/>
                <w:sz w:val="24"/>
                <w:szCs w:val="24"/>
                <w:vertAlign w:val="superscript"/>
              </w:rPr>
              <w:t>4</w:t>
            </w:r>
            <w:r>
              <w:rPr>
                <w:rFonts w:hint="default" w:ascii="Times New Roman" w:hAnsi="Times New Roman" w:eastAsia="宋体" w:cs="Times New Roman"/>
                <w:sz w:val="24"/>
                <w:szCs w:val="24"/>
              </w:rPr>
              <w:t>Nm</w:t>
            </w:r>
            <w:r>
              <w:rPr>
                <w:rFonts w:hint="default" w:ascii="Times New Roman" w:hAnsi="Times New Roman" w:eastAsia="宋体" w:cs="Times New Roman"/>
                <w:sz w:val="24"/>
                <w:szCs w:val="24"/>
                <w:vertAlign w:val="superscript"/>
              </w:rPr>
              <w:t>3</w:t>
            </w:r>
          </w:p>
        </w:tc>
        <w:tc>
          <w:tcPr>
            <w:tcW w:w="2205" w:type="dxa"/>
            <w:noWrap w:val="0"/>
            <w:vAlign w:val="center"/>
          </w:tcPr>
          <w:p w14:paraId="43684E9C">
            <w:pPr>
              <w:spacing w:line="24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低位发热量</w:t>
            </w:r>
          </w:p>
          <w:p w14:paraId="35BE9690">
            <w:pPr>
              <w:spacing w:line="24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GJ/10</w:t>
            </w:r>
            <w:r>
              <w:rPr>
                <w:rFonts w:hint="default" w:ascii="Times New Roman" w:hAnsi="Times New Roman" w:eastAsia="宋体" w:cs="Times New Roman"/>
                <w:sz w:val="24"/>
                <w:szCs w:val="24"/>
                <w:vertAlign w:val="superscript"/>
              </w:rPr>
              <w:t>4</w:t>
            </w:r>
            <w:r>
              <w:rPr>
                <w:rFonts w:hint="default" w:ascii="Times New Roman" w:hAnsi="Times New Roman" w:eastAsia="宋体" w:cs="Times New Roman"/>
                <w:sz w:val="24"/>
                <w:szCs w:val="24"/>
              </w:rPr>
              <w:t>Nm</w:t>
            </w:r>
            <w:r>
              <w:rPr>
                <w:rFonts w:hint="default" w:ascii="Times New Roman" w:hAnsi="Times New Roman" w:eastAsia="宋体" w:cs="Times New Roman"/>
                <w:sz w:val="24"/>
                <w:szCs w:val="24"/>
                <w:vertAlign w:val="superscript"/>
              </w:rPr>
              <w:t>3</w:t>
            </w:r>
          </w:p>
        </w:tc>
      </w:tr>
      <w:tr w14:paraId="4EDED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noWrap w:val="0"/>
            <w:vAlign w:val="center"/>
          </w:tcPr>
          <w:p w14:paraId="3328B4D4">
            <w:pPr>
              <w:spacing w:line="360" w:lineRule="auto"/>
              <w:ind w:left="0" w:leftChars="0" w:firstLine="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化石燃料燃烧</w:t>
            </w:r>
          </w:p>
        </w:tc>
        <w:tc>
          <w:tcPr>
            <w:tcW w:w="1455" w:type="dxa"/>
            <w:noWrap w:val="0"/>
            <w:vAlign w:val="center"/>
          </w:tcPr>
          <w:p w14:paraId="374144E2">
            <w:pPr>
              <w:spacing w:line="360" w:lineRule="auto"/>
              <w:ind w:left="0" w:leftChars="0" w:firstLine="0" w:firstLineChars="0"/>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val="en-US" w:eastAsia="zh-CN"/>
              </w:rPr>
              <w:t>柴油</w:t>
            </w:r>
          </w:p>
        </w:tc>
        <w:tc>
          <w:tcPr>
            <w:tcW w:w="1417" w:type="dxa"/>
            <w:noWrap w:val="0"/>
            <w:vAlign w:val="center"/>
          </w:tcPr>
          <w:p w14:paraId="1AD0BDEB">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10</w:t>
            </w:r>
            <w:r>
              <w:rPr>
                <w:rFonts w:hint="default" w:ascii="Times New Roman" w:hAnsi="Times New Roman" w:eastAsia="宋体" w:cs="Times New Roman"/>
                <w:sz w:val="24"/>
                <w:szCs w:val="24"/>
                <w:vertAlign w:val="superscript"/>
              </w:rPr>
              <w:t xml:space="preserve">4 </w:t>
            </w:r>
            <w:r>
              <w:rPr>
                <w:rFonts w:hint="default" w:ascii="Times New Roman" w:hAnsi="Times New Roman" w:eastAsia="宋体" w:cs="Times New Roman"/>
                <w:sz w:val="24"/>
                <w:szCs w:val="24"/>
              </w:rPr>
              <w:t>Nm</w:t>
            </w:r>
            <w:r>
              <w:rPr>
                <w:rFonts w:hint="default" w:ascii="Times New Roman" w:hAnsi="Times New Roman" w:eastAsia="宋体" w:cs="Times New Roman"/>
                <w:sz w:val="24"/>
                <w:szCs w:val="24"/>
                <w:vertAlign w:val="superscript"/>
              </w:rPr>
              <w:t>3</w:t>
            </w:r>
          </w:p>
        </w:tc>
        <w:tc>
          <w:tcPr>
            <w:tcW w:w="1560" w:type="dxa"/>
            <w:noWrap w:val="0"/>
            <w:vAlign w:val="center"/>
          </w:tcPr>
          <w:p w14:paraId="518C6A71">
            <w:pPr>
              <w:spacing w:line="360" w:lineRule="auto"/>
              <w:ind w:left="0" w:leftChars="0" w:firstLine="0" w:firstLineChars="0"/>
              <w:jc w:val="both"/>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0.00</w:t>
            </w:r>
            <w:r>
              <w:rPr>
                <w:rFonts w:hint="eastAsia" w:eastAsia="宋体" w:cs="Times New Roman"/>
                <w:sz w:val="24"/>
                <w:szCs w:val="24"/>
                <w:lang w:val="en-US" w:eastAsia="zh-CN"/>
              </w:rPr>
              <w:t>54</w:t>
            </w:r>
          </w:p>
        </w:tc>
        <w:tc>
          <w:tcPr>
            <w:tcW w:w="2205" w:type="dxa"/>
            <w:noWrap w:val="0"/>
            <w:vAlign w:val="center"/>
          </w:tcPr>
          <w:p w14:paraId="1817440C">
            <w:pPr>
              <w:spacing w:line="360" w:lineRule="auto"/>
              <w:ind w:left="0" w:leftChars="0" w:firstLine="0" w:firstLineChars="0"/>
              <w:jc w:val="both"/>
              <w:rPr>
                <w:rFonts w:hint="default" w:ascii="Times New Roman" w:hAnsi="Times New Roman" w:eastAsia="宋体" w:cs="Times New Roman"/>
                <w:sz w:val="24"/>
                <w:szCs w:val="24"/>
              </w:rPr>
            </w:pPr>
            <w:r>
              <w:rPr>
                <w:rFonts w:hint="eastAsia" w:ascii="Times New Roman" w:hAnsi="Times New Roman" w:cs="Times New Roman"/>
                <w:color w:val="000000"/>
                <w:sz w:val="24"/>
                <w:szCs w:val="24"/>
                <w:lang w:val="en-US" w:eastAsia="zh-CN"/>
              </w:rPr>
              <w:t>43.33</w:t>
            </w:r>
          </w:p>
        </w:tc>
      </w:tr>
      <w:tr w14:paraId="7FDE4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vMerge w:val="restart"/>
            <w:noWrap w:val="0"/>
            <w:vAlign w:val="center"/>
          </w:tcPr>
          <w:p w14:paraId="2E562D74">
            <w:pPr>
              <w:spacing w:line="360" w:lineRule="auto"/>
              <w:ind w:left="0" w:leftChars="0" w:firstLine="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电力、热力</w:t>
            </w:r>
          </w:p>
        </w:tc>
        <w:tc>
          <w:tcPr>
            <w:tcW w:w="1455" w:type="dxa"/>
            <w:noWrap w:val="0"/>
            <w:vAlign w:val="center"/>
          </w:tcPr>
          <w:p w14:paraId="5C7F632C">
            <w:pPr>
              <w:spacing w:line="360" w:lineRule="auto"/>
              <w:ind w:left="0" w:leftChars="0" w:firstLine="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参数名称</w:t>
            </w:r>
          </w:p>
        </w:tc>
        <w:tc>
          <w:tcPr>
            <w:tcW w:w="2977" w:type="dxa"/>
            <w:gridSpan w:val="2"/>
            <w:noWrap w:val="0"/>
            <w:vAlign w:val="center"/>
          </w:tcPr>
          <w:p w14:paraId="28EE6B1C">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数据</w:t>
            </w:r>
          </w:p>
        </w:tc>
        <w:tc>
          <w:tcPr>
            <w:tcW w:w="2205" w:type="dxa"/>
            <w:noWrap w:val="0"/>
            <w:vAlign w:val="center"/>
          </w:tcPr>
          <w:p w14:paraId="46C3908A">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单位</w:t>
            </w:r>
          </w:p>
        </w:tc>
      </w:tr>
      <w:tr w14:paraId="2D78C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vMerge w:val="continue"/>
            <w:noWrap w:val="0"/>
            <w:vAlign w:val="center"/>
          </w:tcPr>
          <w:p w14:paraId="225E05DE">
            <w:pPr>
              <w:spacing w:line="360" w:lineRule="auto"/>
              <w:rPr>
                <w:rFonts w:hint="default" w:ascii="Times New Roman" w:hAnsi="Times New Roman" w:eastAsia="宋体" w:cs="Times New Roman"/>
                <w:sz w:val="24"/>
                <w:szCs w:val="24"/>
              </w:rPr>
            </w:pPr>
          </w:p>
        </w:tc>
        <w:tc>
          <w:tcPr>
            <w:tcW w:w="1455" w:type="dxa"/>
            <w:noWrap w:val="0"/>
            <w:vAlign w:val="center"/>
          </w:tcPr>
          <w:p w14:paraId="7AB731D0">
            <w:pPr>
              <w:spacing w:line="360" w:lineRule="auto"/>
              <w:ind w:left="0" w:leftChars="0" w:firstLine="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购入的电力</w:t>
            </w:r>
          </w:p>
        </w:tc>
        <w:tc>
          <w:tcPr>
            <w:tcW w:w="2977" w:type="dxa"/>
            <w:gridSpan w:val="2"/>
            <w:noWrap w:val="0"/>
            <w:vAlign w:val="center"/>
          </w:tcPr>
          <w:p w14:paraId="2484967B">
            <w:pPr>
              <w:spacing w:line="360" w:lineRule="auto"/>
              <w:ind w:left="0" w:leftChars="0" w:firstLine="0" w:firstLineChars="0"/>
              <w:jc w:val="both"/>
              <w:rPr>
                <w:rFonts w:hint="default" w:ascii="Times New Roman" w:hAnsi="Times New Roman" w:eastAsia="宋体" w:cs="Times New Roman"/>
                <w:sz w:val="24"/>
                <w:szCs w:val="24"/>
                <w:lang w:val="en-US"/>
              </w:rPr>
            </w:pPr>
            <w:r>
              <w:rPr>
                <w:rFonts w:hint="eastAsia" w:cs="Times New Roman"/>
                <w:color w:val="000000"/>
                <w:sz w:val="24"/>
                <w:szCs w:val="24"/>
                <w:lang w:val="en-US" w:eastAsia="zh-CN"/>
              </w:rPr>
              <w:t>972.43</w:t>
            </w:r>
          </w:p>
        </w:tc>
        <w:tc>
          <w:tcPr>
            <w:tcW w:w="2205" w:type="dxa"/>
            <w:noWrap w:val="0"/>
            <w:vAlign w:val="center"/>
          </w:tcPr>
          <w:p w14:paraId="6655E18A">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MWh</w:t>
            </w:r>
          </w:p>
        </w:tc>
      </w:tr>
      <w:tr w14:paraId="2266F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vMerge w:val="continue"/>
            <w:noWrap w:val="0"/>
            <w:vAlign w:val="center"/>
          </w:tcPr>
          <w:p w14:paraId="2282B164">
            <w:pPr>
              <w:spacing w:line="360" w:lineRule="auto"/>
              <w:rPr>
                <w:rFonts w:hint="default" w:ascii="Times New Roman" w:hAnsi="Times New Roman" w:eastAsia="宋体" w:cs="Times New Roman"/>
                <w:sz w:val="24"/>
                <w:szCs w:val="24"/>
              </w:rPr>
            </w:pPr>
          </w:p>
        </w:tc>
        <w:tc>
          <w:tcPr>
            <w:tcW w:w="1455" w:type="dxa"/>
            <w:noWrap w:val="0"/>
            <w:vAlign w:val="center"/>
          </w:tcPr>
          <w:p w14:paraId="4EF22810">
            <w:pPr>
              <w:spacing w:line="360" w:lineRule="auto"/>
              <w:ind w:left="0" w:leftChars="0" w:firstLine="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购入的热力</w:t>
            </w:r>
          </w:p>
        </w:tc>
        <w:tc>
          <w:tcPr>
            <w:tcW w:w="2977" w:type="dxa"/>
            <w:gridSpan w:val="2"/>
            <w:noWrap w:val="0"/>
            <w:vAlign w:val="center"/>
          </w:tcPr>
          <w:p w14:paraId="2021F38A">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t>
            </w:r>
          </w:p>
        </w:tc>
        <w:tc>
          <w:tcPr>
            <w:tcW w:w="2205" w:type="dxa"/>
            <w:noWrap w:val="0"/>
            <w:vAlign w:val="center"/>
          </w:tcPr>
          <w:p w14:paraId="5D6BCBCA">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GJ</w:t>
            </w:r>
          </w:p>
        </w:tc>
      </w:tr>
    </w:tbl>
    <w:p w14:paraId="0098DAD0">
      <w:pPr>
        <w:pStyle w:val="4"/>
        <w:rPr>
          <w:rFonts w:hint="default"/>
        </w:rPr>
      </w:pPr>
    </w:p>
    <w:p w14:paraId="23651376">
      <w:pPr>
        <w:pStyle w:val="28"/>
        <w:bidi w:val="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表A.3  排放因子和计算系数</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9"/>
        <w:gridCol w:w="1659"/>
        <w:gridCol w:w="2773"/>
        <w:gridCol w:w="2205"/>
      </w:tblGrid>
      <w:tr w14:paraId="520BC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noWrap w:val="0"/>
            <w:vAlign w:val="center"/>
          </w:tcPr>
          <w:p w14:paraId="30EC78B4">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排放源类别</w:t>
            </w:r>
          </w:p>
        </w:tc>
        <w:tc>
          <w:tcPr>
            <w:tcW w:w="1659" w:type="dxa"/>
            <w:noWrap w:val="0"/>
            <w:vAlign w:val="center"/>
          </w:tcPr>
          <w:p w14:paraId="6A540B71">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燃料种类</w:t>
            </w:r>
          </w:p>
        </w:tc>
        <w:tc>
          <w:tcPr>
            <w:tcW w:w="2773" w:type="dxa"/>
            <w:noWrap w:val="0"/>
            <w:vAlign w:val="center"/>
          </w:tcPr>
          <w:p w14:paraId="75CEE56B">
            <w:pPr>
              <w:spacing w:line="24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单位热值含碳量</w:t>
            </w:r>
          </w:p>
          <w:p w14:paraId="21279866">
            <w:pPr>
              <w:spacing w:line="24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tC/GJ</w:t>
            </w:r>
          </w:p>
        </w:tc>
        <w:tc>
          <w:tcPr>
            <w:tcW w:w="2205" w:type="dxa"/>
            <w:noWrap w:val="0"/>
            <w:vAlign w:val="center"/>
          </w:tcPr>
          <w:p w14:paraId="46903C4F">
            <w:pPr>
              <w:spacing w:line="24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碳氧化率%</w:t>
            </w:r>
          </w:p>
        </w:tc>
      </w:tr>
      <w:tr w14:paraId="10640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noWrap w:val="0"/>
            <w:vAlign w:val="center"/>
          </w:tcPr>
          <w:p w14:paraId="0A1DC249">
            <w:pPr>
              <w:spacing w:line="360" w:lineRule="auto"/>
              <w:ind w:left="0" w:leftChars="0" w:firstLine="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燃料燃烧</w:t>
            </w:r>
          </w:p>
        </w:tc>
        <w:tc>
          <w:tcPr>
            <w:tcW w:w="1659" w:type="dxa"/>
            <w:noWrap w:val="0"/>
            <w:vAlign w:val="center"/>
          </w:tcPr>
          <w:p w14:paraId="35987291">
            <w:pPr>
              <w:spacing w:line="360" w:lineRule="auto"/>
              <w:ind w:left="0" w:leftChars="0" w:firstLine="0" w:firstLineChars="0"/>
              <w:rPr>
                <w:rFonts w:hint="eastAsia" w:ascii="Times New Roman" w:hAnsi="Times New Roman" w:eastAsia="宋体" w:cs="Times New Roman"/>
                <w:sz w:val="24"/>
                <w:szCs w:val="24"/>
                <w:lang w:eastAsia="zh-CN"/>
              </w:rPr>
            </w:pPr>
            <w:r>
              <w:rPr>
                <w:rFonts w:hint="eastAsia" w:eastAsia="宋体" w:cs="Times New Roman"/>
                <w:sz w:val="24"/>
                <w:szCs w:val="24"/>
                <w:lang w:val="en-US" w:eastAsia="zh-CN"/>
              </w:rPr>
              <w:t>柴油</w:t>
            </w:r>
          </w:p>
        </w:tc>
        <w:tc>
          <w:tcPr>
            <w:tcW w:w="2773" w:type="dxa"/>
            <w:noWrap w:val="0"/>
            <w:vAlign w:val="center"/>
          </w:tcPr>
          <w:p w14:paraId="3CEFE982">
            <w:pPr>
              <w:spacing w:line="360" w:lineRule="auto"/>
              <w:ind w:left="0" w:leftChars="0" w:firstLine="0" w:firstLineChars="0"/>
              <w:jc w:val="both"/>
              <w:rPr>
                <w:rFonts w:hint="default" w:ascii="Times New Roman" w:hAnsi="Times New Roman" w:eastAsia="宋体" w:cs="Times New Roman"/>
                <w:sz w:val="24"/>
                <w:szCs w:val="24"/>
              </w:rPr>
            </w:pPr>
            <w:r>
              <w:rPr>
                <w:rFonts w:hint="eastAsia" w:ascii="Times New Roman" w:hAnsi="Times New Roman" w:cs="Times New Roman"/>
                <w:color w:val="000000"/>
                <w:sz w:val="24"/>
                <w:szCs w:val="24"/>
                <w:lang w:val="en-US" w:eastAsia="zh-CN"/>
              </w:rPr>
              <w:t>20.20×10</w:t>
            </w:r>
            <w:r>
              <w:rPr>
                <w:rFonts w:hint="eastAsia" w:ascii="Times New Roman" w:hAnsi="Times New Roman" w:cs="Times New Roman"/>
                <w:color w:val="000000"/>
                <w:sz w:val="24"/>
                <w:szCs w:val="24"/>
                <w:vertAlign w:val="superscript"/>
                <w:lang w:val="en-US" w:eastAsia="zh-CN"/>
              </w:rPr>
              <w:t>-3</w:t>
            </w:r>
          </w:p>
        </w:tc>
        <w:tc>
          <w:tcPr>
            <w:tcW w:w="2205" w:type="dxa"/>
            <w:noWrap w:val="0"/>
            <w:vAlign w:val="center"/>
          </w:tcPr>
          <w:p w14:paraId="5A2D5271">
            <w:pPr>
              <w:spacing w:line="360" w:lineRule="auto"/>
              <w:ind w:left="0" w:leftChars="0" w:firstLine="0" w:firstLineChars="0"/>
              <w:jc w:val="both"/>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9</w:t>
            </w:r>
            <w:r>
              <w:rPr>
                <w:rFonts w:hint="eastAsia" w:ascii="Times New Roman" w:hAnsi="Times New Roman" w:eastAsia="宋体" w:cs="Times New Roman"/>
                <w:sz w:val="24"/>
                <w:szCs w:val="24"/>
                <w:lang w:val="en-US" w:eastAsia="zh-CN"/>
              </w:rPr>
              <w:t>8</w:t>
            </w:r>
          </w:p>
        </w:tc>
      </w:tr>
      <w:tr w14:paraId="0D7AA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vMerge w:val="restart"/>
            <w:noWrap w:val="0"/>
            <w:vAlign w:val="center"/>
          </w:tcPr>
          <w:p w14:paraId="36492E08">
            <w:pPr>
              <w:spacing w:line="360" w:lineRule="auto"/>
              <w:ind w:left="0" w:leftChars="0" w:firstLine="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电力、热力</w:t>
            </w:r>
          </w:p>
        </w:tc>
        <w:tc>
          <w:tcPr>
            <w:tcW w:w="1659" w:type="dxa"/>
            <w:noWrap w:val="0"/>
            <w:vAlign w:val="center"/>
          </w:tcPr>
          <w:p w14:paraId="38929244">
            <w:pPr>
              <w:spacing w:line="360" w:lineRule="auto"/>
              <w:ind w:left="0" w:leftChars="0" w:firstLine="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参数名称</w:t>
            </w:r>
          </w:p>
        </w:tc>
        <w:tc>
          <w:tcPr>
            <w:tcW w:w="2773" w:type="dxa"/>
            <w:noWrap w:val="0"/>
            <w:vAlign w:val="center"/>
          </w:tcPr>
          <w:p w14:paraId="649CC8F8">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数据</w:t>
            </w:r>
          </w:p>
        </w:tc>
        <w:tc>
          <w:tcPr>
            <w:tcW w:w="2205" w:type="dxa"/>
            <w:noWrap w:val="0"/>
            <w:vAlign w:val="center"/>
          </w:tcPr>
          <w:p w14:paraId="6BC97A97">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单位</w:t>
            </w:r>
          </w:p>
        </w:tc>
      </w:tr>
      <w:tr w14:paraId="5560D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vMerge w:val="continue"/>
            <w:noWrap w:val="0"/>
            <w:vAlign w:val="center"/>
          </w:tcPr>
          <w:p w14:paraId="4DDDFFB5">
            <w:pPr>
              <w:spacing w:line="360" w:lineRule="auto"/>
              <w:rPr>
                <w:rFonts w:hint="default" w:ascii="Times New Roman" w:hAnsi="Times New Roman" w:eastAsia="宋体" w:cs="Times New Roman"/>
                <w:sz w:val="24"/>
                <w:szCs w:val="24"/>
              </w:rPr>
            </w:pPr>
          </w:p>
        </w:tc>
        <w:tc>
          <w:tcPr>
            <w:tcW w:w="1659" w:type="dxa"/>
            <w:noWrap w:val="0"/>
            <w:vAlign w:val="center"/>
          </w:tcPr>
          <w:p w14:paraId="568DDA32">
            <w:pPr>
              <w:spacing w:line="360" w:lineRule="auto"/>
              <w:ind w:left="0" w:leftChars="0" w:firstLine="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购入的电力</w:t>
            </w:r>
          </w:p>
        </w:tc>
        <w:tc>
          <w:tcPr>
            <w:tcW w:w="2773" w:type="dxa"/>
            <w:noWrap w:val="0"/>
            <w:vAlign w:val="center"/>
          </w:tcPr>
          <w:p w14:paraId="26C20354">
            <w:pPr>
              <w:spacing w:line="360" w:lineRule="auto"/>
              <w:ind w:left="0" w:leftChars="0" w:firstLine="0" w:firstLineChars="0"/>
              <w:jc w:val="both"/>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0.</w:t>
            </w:r>
            <w:r>
              <w:rPr>
                <w:rFonts w:hint="eastAsia" w:ascii="Times New Roman" w:hAnsi="Times New Roman" w:eastAsia="宋体" w:cs="Times New Roman"/>
                <w:sz w:val="24"/>
                <w:szCs w:val="24"/>
                <w:lang w:val="en-US" w:eastAsia="zh-CN"/>
              </w:rPr>
              <w:t>6782</w:t>
            </w:r>
          </w:p>
        </w:tc>
        <w:tc>
          <w:tcPr>
            <w:tcW w:w="2205" w:type="dxa"/>
            <w:noWrap w:val="0"/>
            <w:vAlign w:val="center"/>
          </w:tcPr>
          <w:p w14:paraId="08622812">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tCO</w:t>
            </w:r>
            <w:r>
              <w:rPr>
                <w:rFonts w:hint="default" w:ascii="Times New Roman" w:hAnsi="Times New Roman" w:eastAsia="宋体" w:cs="Times New Roman"/>
                <w:sz w:val="24"/>
                <w:szCs w:val="24"/>
                <w:vertAlign w:val="subscript"/>
              </w:rPr>
              <w:t>2</w:t>
            </w:r>
            <w:r>
              <w:rPr>
                <w:rFonts w:hint="default" w:ascii="Times New Roman" w:hAnsi="Times New Roman" w:eastAsia="宋体" w:cs="Times New Roman"/>
                <w:sz w:val="24"/>
                <w:szCs w:val="24"/>
              </w:rPr>
              <w:t>/MWh</w:t>
            </w:r>
          </w:p>
        </w:tc>
      </w:tr>
      <w:tr w14:paraId="3E3A1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vMerge w:val="continue"/>
            <w:noWrap w:val="0"/>
            <w:vAlign w:val="center"/>
          </w:tcPr>
          <w:p w14:paraId="12013CC2">
            <w:pPr>
              <w:spacing w:line="360" w:lineRule="auto"/>
              <w:rPr>
                <w:rFonts w:hint="default" w:ascii="Times New Roman" w:hAnsi="Times New Roman" w:eastAsia="宋体" w:cs="Times New Roman"/>
                <w:sz w:val="24"/>
                <w:szCs w:val="24"/>
              </w:rPr>
            </w:pPr>
          </w:p>
        </w:tc>
        <w:tc>
          <w:tcPr>
            <w:tcW w:w="1659" w:type="dxa"/>
            <w:noWrap w:val="0"/>
            <w:vAlign w:val="center"/>
          </w:tcPr>
          <w:p w14:paraId="31BE7EBB">
            <w:pPr>
              <w:spacing w:line="360" w:lineRule="auto"/>
              <w:ind w:left="0" w:leftChars="0" w:firstLine="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购入的热力</w:t>
            </w:r>
          </w:p>
        </w:tc>
        <w:tc>
          <w:tcPr>
            <w:tcW w:w="2773" w:type="dxa"/>
            <w:noWrap w:val="0"/>
            <w:vAlign w:val="center"/>
          </w:tcPr>
          <w:p w14:paraId="10E5EC2E">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t>
            </w:r>
          </w:p>
        </w:tc>
        <w:tc>
          <w:tcPr>
            <w:tcW w:w="2205" w:type="dxa"/>
            <w:noWrap w:val="0"/>
            <w:vAlign w:val="center"/>
          </w:tcPr>
          <w:p w14:paraId="732926A6">
            <w:pPr>
              <w:spacing w:line="360" w:lineRule="auto"/>
              <w:ind w:left="0" w:lef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tCO</w:t>
            </w:r>
            <w:r>
              <w:rPr>
                <w:rFonts w:hint="default" w:ascii="Times New Roman" w:hAnsi="Times New Roman" w:eastAsia="宋体" w:cs="Times New Roman"/>
                <w:sz w:val="24"/>
                <w:szCs w:val="24"/>
                <w:vertAlign w:val="subscript"/>
              </w:rPr>
              <w:t>2</w:t>
            </w:r>
            <w:r>
              <w:rPr>
                <w:rFonts w:hint="default" w:ascii="Times New Roman" w:hAnsi="Times New Roman" w:eastAsia="宋体" w:cs="Times New Roman"/>
                <w:sz w:val="24"/>
                <w:szCs w:val="24"/>
              </w:rPr>
              <w:t>/GJ</w:t>
            </w:r>
          </w:p>
        </w:tc>
      </w:tr>
    </w:tbl>
    <w:p w14:paraId="2A2F8D9E">
      <w:pPr>
        <w:pStyle w:val="4"/>
        <w:rPr>
          <w:rFonts w:hint="default"/>
        </w:rPr>
      </w:pPr>
    </w:p>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B866C">
    <w:pPr>
      <w:pStyle w:val="6"/>
      <w:jc w:val="center"/>
    </w:pPr>
  </w:p>
  <w:p w14:paraId="4CB97158">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0BEFA">
    <w:pPr>
      <w:pStyle w:val="6"/>
      <w:jc w:val="center"/>
    </w:pPr>
    <w:r>
      <w:fldChar w:fldCharType="begin"/>
    </w:r>
    <w:r>
      <w:instrText xml:space="preserve">PAGE   \* MERGEFORMAT</w:instrText>
    </w:r>
    <w:r>
      <w:fldChar w:fldCharType="separate"/>
    </w:r>
    <w:r>
      <w:rPr>
        <w:lang w:val="zh-CN"/>
      </w:rPr>
      <w:t>20</w:t>
    </w:r>
    <w:r>
      <w:rPr>
        <w:lang w:val="zh-CN"/>
      </w:rPr>
      <w:fldChar w:fldCharType="end"/>
    </w:r>
  </w:p>
  <w:p w14:paraId="18F52519">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40"/>
      </w:pPr>
      <w:r>
        <w:separator/>
      </w:r>
    </w:p>
  </w:footnote>
  <w:footnote w:type="continuationSeparator" w:id="1">
    <w:p>
      <w:pPr>
        <w:spacing w:line="36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733FF">
    <w:pPr>
      <w:pStyle w:val="7"/>
    </w:pPr>
    <w:r>
      <w:rPr>
        <w:rFonts w:hint="eastAsia"/>
      </w:rPr>
      <w:t>目 录</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E3466C">
    <w:pPr>
      <w:pStyle w:val="7"/>
      <w:rPr>
        <w:rFonts w:ascii="宋体" w:hAnsi="宋体" w:eastAsia="宋体"/>
      </w:rPr>
    </w:pPr>
    <w:r>
      <w:rPr>
        <w:rFonts w:hint="eastAsia" w:ascii="宋体" w:hAnsi="宋体" w:eastAsia="宋体"/>
        <w:lang w:eastAsia="zh-CN"/>
      </w:rPr>
      <w:t>铜陵有色金翔物资有限责任公司2024年</w:t>
    </w:r>
    <w:r>
      <w:rPr>
        <w:rFonts w:hint="eastAsia" w:ascii="宋体" w:hAnsi="宋体" w:eastAsia="宋体"/>
      </w:rPr>
      <w:t>温室气体排放报告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yMGQzODBmMTgzODgyN2QyMGZjMjI4MTBiOWMxYTcifQ=="/>
  </w:docVars>
  <w:rsids>
    <w:rsidRoot w:val="00172A27"/>
    <w:rsid w:val="0000060F"/>
    <w:rsid w:val="00030294"/>
    <w:rsid w:val="000315D6"/>
    <w:rsid w:val="00032A0A"/>
    <w:rsid w:val="000351A8"/>
    <w:rsid w:val="00036EAF"/>
    <w:rsid w:val="00042CAE"/>
    <w:rsid w:val="00055927"/>
    <w:rsid w:val="00056799"/>
    <w:rsid w:val="00061994"/>
    <w:rsid w:val="0007164D"/>
    <w:rsid w:val="00076E94"/>
    <w:rsid w:val="0008091F"/>
    <w:rsid w:val="000850E0"/>
    <w:rsid w:val="000878A7"/>
    <w:rsid w:val="00091575"/>
    <w:rsid w:val="00091E26"/>
    <w:rsid w:val="00094EF4"/>
    <w:rsid w:val="000954C0"/>
    <w:rsid w:val="000C42DC"/>
    <w:rsid w:val="000D6A2C"/>
    <w:rsid w:val="000F7BA3"/>
    <w:rsid w:val="0010512A"/>
    <w:rsid w:val="00122DDB"/>
    <w:rsid w:val="001256D4"/>
    <w:rsid w:val="0013424B"/>
    <w:rsid w:val="001676B1"/>
    <w:rsid w:val="00173EDF"/>
    <w:rsid w:val="001821B9"/>
    <w:rsid w:val="00184E05"/>
    <w:rsid w:val="0019348B"/>
    <w:rsid w:val="001A1447"/>
    <w:rsid w:val="001B18B0"/>
    <w:rsid w:val="001B632D"/>
    <w:rsid w:val="001C07E0"/>
    <w:rsid w:val="001C3612"/>
    <w:rsid w:val="001E7760"/>
    <w:rsid w:val="001E788D"/>
    <w:rsid w:val="0020177D"/>
    <w:rsid w:val="00211CD8"/>
    <w:rsid w:val="00221952"/>
    <w:rsid w:val="00224ABC"/>
    <w:rsid w:val="00232EBD"/>
    <w:rsid w:val="002359BB"/>
    <w:rsid w:val="002374B6"/>
    <w:rsid w:val="00246883"/>
    <w:rsid w:val="002546C3"/>
    <w:rsid w:val="002571FF"/>
    <w:rsid w:val="00264F14"/>
    <w:rsid w:val="00282F91"/>
    <w:rsid w:val="002847C6"/>
    <w:rsid w:val="002872A4"/>
    <w:rsid w:val="00294511"/>
    <w:rsid w:val="00294A22"/>
    <w:rsid w:val="002979E5"/>
    <w:rsid w:val="002A015E"/>
    <w:rsid w:val="002A33C7"/>
    <w:rsid w:val="002B35AE"/>
    <w:rsid w:val="002B5F96"/>
    <w:rsid w:val="002C713C"/>
    <w:rsid w:val="002D23B3"/>
    <w:rsid w:val="002E07F0"/>
    <w:rsid w:val="002F39AB"/>
    <w:rsid w:val="00302E1A"/>
    <w:rsid w:val="00305526"/>
    <w:rsid w:val="00305A93"/>
    <w:rsid w:val="00306006"/>
    <w:rsid w:val="00307D39"/>
    <w:rsid w:val="00321787"/>
    <w:rsid w:val="00321C64"/>
    <w:rsid w:val="0032533E"/>
    <w:rsid w:val="003260C2"/>
    <w:rsid w:val="0032645D"/>
    <w:rsid w:val="003278DD"/>
    <w:rsid w:val="00333665"/>
    <w:rsid w:val="00342219"/>
    <w:rsid w:val="00352DB5"/>
    <w:rsid w:val="00360934"/>
    <w:rsid w:val="00370710"/>
    <w:rsid w:val="003976DA"/>
    <w:rsid w:val="003A518C"/>
    <w:rsid w:val="003A7CF4"/>
    <w:rsid w:val="003B588A"/>
    <w:rsid w:val="003B679D"/>
    <w:rsid w:val="003D0DDF"/>
    <w:rsid w:val="003D7733"/>
    <w:rsid w:val="003E6116"/>
    <w:rsid w:val="004050FA"/>
    <w:rsid w:val="0040769A"/>
    <w:rsid w:val="0041237C"/>
    <w:rsid w:val="00412FD9"/>
    <w:rsid w:val="004152EF"/>
    <w:rsid w:val="00420E98"/>
    <w:rsid w:val="00427871"/>
    <w:rsid w:val="00430EE4"/>
    <w:rsid w:val="004330AE"/>
    <w:rsid w:val="004510B2"/>
    <w:rsid w:val="00471946"/>
    <w:rsid w:val="00471CAD"/>
    <w:rsid w:val="0047228D"/>
    <w:rsid w:val="004758B5"/>
    <w:rsid w:val="0049183C"/>
    <w:rsid w:val="00494CFE"/>
    <w:rsid w:val="0049754C"/>
    <w:rsid w:val="004A2E6E"/>
    <w:rsid w:val="004C20BC"/>
    <w:rsid w:val="004C4475"/>
    <w:rsid w:val="004D05E1"/>
    <w:rsid w:val="004D1550"/>
    <w:rsid w:val="004D4A1B"/>
    <w:rsid w:val="004E24D5"/>
    <w:rsid w:val="00506C08"/>
    <w:rsid w:val="0051361D"/>
    <w:rsid w:val="00514321"/>
    <w:rsid w:val="005154D5"/>
    <w:rsid w:val="005307B7"/>
    <w:rsid w:val="005313F8"/>
    <w:rsid w:val="00532C14"/>
    <w:rsid w:val="00533399"/>
    <w:rsid w:val="0054780B"/>
    <w:rsid w:val="00550D07"/>
    <w:rsid w:val="00552BA0"/>
    <w:rsid w:val="00557FFB"/>
    <w:rsid w:val="00571B55"/>
    <w:rsid w:val="0057512C"/>
    <w:rsid w:val="00582E09"/>
    <w:rsid w:val="00586A6E"/>
    <w:rsid w:val="00586F5C"/>
    <w:rsid w:val="005879E8"/>
    <w:rsid w:val="00587BFE"/>
    <w:rsid w:val="005954C5"/>
    <w:rsid w:val="005A7E37"/>
    <w:rsid w:val="005B6AB1"/>
    <w:rsid w:val="005C36DC"/>
    <w:rsid w:val="005C6431"/>
    <w:rsid w:val="005D0D07"/>
    <w:rsid w:val="005D74DC"/>
    <w:rsid w:val="005F6DD1"/>
    <w:rsid w:val="005F71DD"/>
    <w:rsid w:val="005F73EA"/>
    <w:rsid w:val="0060153C"/>
    <w:rsid w:val="00604BA2"/>
    <w:rsid w:val="00611007"/>
    <w:rsid w:val="0061302C"/>
    <w:rsid w:val="00625FFE"/>
    <w:rsid w:val="00627B9E"/>
    <w:rsid w:val="00633D3C"/>
    <w:rsid w:val="00643847"/>
    <w:rsid w:val="0064389C"/>
    <w:rsid w:val="00654A7D"/>
    <w:rsid w:val="00666EBF"/>
    <w:rsid w:val="006737F5"/>
    <w:rsid w:val="00675623"/>
    <w:rsid w:val="00694FE6"/>
    <w:rsid w:val="0069633E"/>
    <w:rsid w:val="006A073F"/>
    <w:rsid w:val="006A4C9D"/>
    <w:rsid w:val="006B4F16"/>
    <w:rsid w:val="006C1522"/>
    <w:rsid w:val="006E4778"/>
    <w:rsid w:val="006E57F2"/>
    <w:rsid w:val="006F4F7B"/>
    <w:rsid w:val="00712129"/>
    <w:rsid w:val="00723247"/>
    <w:rsid w:val="00726CD0"/>
    <w:rsid w:val="0073128A"/>
    <w:rsid w:val="007650A9"/>
    <w:rsid w:val="0077195E"/>
    <w:rsid w:val="007755B8"/>
    <w:rsid w:val="00780A74"/>
    <w:rsid w:val="00782DC6"/>
    <w:rsid w:val="00785CA1"/>
    <w:rsid w:val="00787CEE"/>
    <w:rsid w:val="00793AEA"/>
    <w:rsid w:val="007B6574"/>
    <w:rsid w:val="007C2042"/>
    <w:rsid w:val="007E7A64"/>
    <w:rsid w:val="008014E5"/>
    <w:rsid w:val="00811C36"/>
    <w:rsid w:val="00820282"/>
    <w:rsid w:val="008205F8"/>
    <w:rsid w:val="008263B5"/>
    <w:rsid w:val="008277A4"/>
    <w:rsid w:val="008407E4"/>
    <w:rsid w:val="00852C97"/>
    <w:rsid w:val="008542E6"/>
    <w:rsid w:val="00862BDB"/>
    <w:rsid w:val="00866BFE"/>
    <w:rsid w:val="0088389C"/>
    <w:rsid w:val="008926D0"/>
    <w:rsid w:val="008927DA"/>
    <w:rsid w:val="008B6DBD"/>
    <w:rsid w:val="008B735F"/>
    <w:rsid w:val="008C3B38"/>
    <w:rsid w:val="008C6F4C"/>
    <w:rsid w:val="008E5C7F"/>
    <w:rsid w:val="009015C3"/>
    <w:rsid w:val="009117DF"/>
    <w:rsid w:val="0091239F"/>
    <w:rsid w:val="00923499"/>
    <w:rsid w:val="0093365F"/>
    <w:rsid w:val="009339A2"/>
    <w:rsid w:val="00934D18"/>
    <w:rsid w:val="00941691"/>
    <w:rsid w:val="00947962"/>
    <w:rsid w:val="0095451B"/>
    <w:rsid w:val="00954DA6"/>
    <w:rsid w:val="00955236"/>
    <w:rsid w:val="0095584D"/>
    <w:rsid w:val="009574A9"/>
    <w:rsid w:val="0097329E"/>
    <w:rsid w:val="00995B0E"/>
    <w:rsid w:val="009B79DD"/>
    <w:rsid w:val="009C5CFB"/>
    <w:rsid w:val="009D05A7"/>
    <w:rsid w:val="009D1F2A"/>
    <w:rsid w:val="009D5AA8"/>
    <w:rsid w:val="009F6D93"/>
    <w:rsid w:val="00A007B7"/>
    <w:rsid w:val="00A03332"/>
    <w:rsid w:val="00A0564A"/>
    <w:rsid w:val="00A06394"/>
    <w:rsid w:val="00A11A1C"/>
    <w:rsid w:val="00A11B41"/>
    <w:rsid w:val="00A328C8"/>
    <w:rsid w:val="00A3600A"/>
    <w:rsid w:val="00A43E7A"/>
    <w:rsid w:val="00A62105"/>
    <w:rsid w:val="00A62769"/>
    <w:rsid w:val="00A734B0"/>
    <w:rsid w:val="00A73997"/>
    <w:rsid w:val="00A8574C"/>
    <w:rsid w:val="00AA188B"/>
    <w:rsid w:val="00AA6698"/>
    <w:rsid w:val="00AB38D5"/>
    <w:rsid w:val="00AD42AD"/>
    <w:rsid w:val="00B02E16"/>
    <w:rsid w:val="00B03A1E"/>
    <w:rsid w:val="00B16295"/>
    <w:rsid w:val="00B207EF"/>
    <w:rsid w:val="00B24B7D"/>
    <w:rsid w:val="00B313A3"/>
    <w:rsid w:val="00B363E9"/>
    <w:rsid w:val="00B4321F"/>
    <w:rsid w:val="00B47F0B"/>
    <w:rsid w:val="00B50E92"/>
    <w:rsid w:val="00B5666A"/>
    <w:rsid w:val="00B610A3"/>
    <w:rsid w:val="00B669C9"/>
    <w:rsid w:val="00B66D91"/>
    <w:rsid w:val="00B679A4"/>
    <w:rsid w:val="00B7743E"/>
    <w:rsid w:val="00B81767"/>
    <w:rsid w:val="00B82220"/>
    <w:rsid w:val="00B90FD5"/>
    <w:rsid w:val="00BA13FC"/>
    <w:rsid w:val="00BB7B07"/>
    <w:rsid w:val="00BD35D2"/>
    <w:rsid w:val="00BD65A9"/>
    <w:rsid w:val="00BE6008"/>
    <w:rsid w:val="00C01800"/>
    <w:rsid w:val="00C02B5F"/>
    <w:rsid w:val="00C044F2"/>
    <w:rsid w:val="00C06E8C"/>
    <w:rsid w:val="00C13D9F"/>
    <w:rsid w:val="00C148CE"/>
    <w:rsid w:val="00C3143E"/>
    <w:rsid w:val="00C4090F"/>
    <w:rsid w:val="00C50436"/>
    <w:rsid w:val="00C50D24"/>
    <w:rsid w:val="00C551C4"/>
    <w:rsid w:val="00C777D2"/>
    <w:rsid w:val="00C877D1"/>
    <w:rsid w:val="00CA1215"/>
    <w:rsid w:val="00CA5071"/>
    <w:rsid w:val="00CA5BDB"/>
    <w:rsid w:val="00CB25EE"/>
    <w:rsid w:val="00CB53E4"/>
    <w:rsid w:val="00CD140A"/>
    <w:rsid w:val="00CD681D"/>
    <w:rsid w:val="00CE42BE"/>
    <w:rsid w:val="00CF1A34"/>
    <w:rsid w:val="00D0256F"/>
    <w:rsid w:val="00D04019"/>
    <w:rsid w:val="00D0602D"/>
    <w:rsid w:val="00D1174F"/>
    <w:rsid w:val="00D141BC"/>
    <w:rsid w:val="00D1763C"/>
    <w:rsid w:val="00D2617E"/>
    <w:rsid w:val="00D34CBA"/>
    <w:rsid w:val="00D36E0D"/>
    <w:rsid w:val="00D52CE1"/>
    <w:rsid w:val="00D726B1"/>
    <w:rsid w:val="00D7358C"/>
    <w:rsid w:val="00D837BF"/>
    <w:rsid w:val="00D90FFB"/>
    <w:rsid w:val="00D95553"/>
    <w:rsid w:val="00D96463"/>
    <w:rsid w:val="00DD75D8"/>
    <w:rsid w:val="00DE6868"/>
    <w:rsid w:val="00E038F8"/>
    <w:rsid w:val="00E2183F"/>
    <w:rsid w:val="00E31B31"/>
    <w:rsid w:val="00E55879"/>
    <w:rsid w:val="00E558ED"/>
    <w:rsid w:val="00E7113B"/>
    <w:rsid w:val="00E73B2A"/>
    <w:rsid w:val="00E93DC4"/>
    <w:rsid w:val="00EB14A1"/>
    <w:rsid w:val="00EB2BE2"/>
    <w:rsid w:val="00EC0E0C"/>
    <w:rsid w:val="00EC3E75"/>
    <w:rsid w:val="00EC5910"/>
    <w:rsid w:val="00ED6B59"/>
    <w:rsid w:val="00ED78FB"/>
    <w:rsid w:val="00EE7E24"/>
    <w:rsid w:val="00EF0CDE"/>
    <w:rsid w:val="00F005BE"/>
    <w:rsid w:val="00F13D0C"/>
    <w:rsid w:val="00F27A89"/>
    <w:rsid w:val="00F5089E"/>
    <w:rsid w:val="00F5209D"/>
    <w:rsid w:val="00F5591C"/>
    <w:rsid w:val="00F57F6E"/>
    <w:rsid w:val="00F70BE4"/>
    <w:rsid w:val="00F70F79"/>
    <w:rsid w:val="00F758D2"/>
    <w:rsid w:val="00F83239"/>
    <w:rsid w:val="00F9633F"/>
    <w:rsid w:val="00FB4A89"/>
    <w:rsid w:val="00FC2603"/>
    <w:rsid w:val="00FC793E"/>
    <w:rsid w:val="00FE4CCF"/>
    <w:rsid w:val="08D02C97"/>
    <w:rsid w:val="105F5C3A"/>
    <w:rsid w:val="11FA2D26"/>
    <w:rsid w:val="17656C96"/>
    <w:rsid w:val="1F532328"/>
    <w:rsid w:val="1F732DBB"/>
    <w:rsid w:val="301E7FBC"/>
    <w:rsid w:val="31015806"/>
    <w:rsid w:val="373B34E8"/>
    <w:rsid w:val="39630285"/>
    <w:rsid w:val="3B330679"/>
    <w:rsid w:val="3B4F206F"/>
    <w:rsid w:val="424E7DB8"/>
    <w:rsid w:val="43C45E1D"/>
    <w:rsid w:val="478C7088"/>
    <w:rsid w:val="48632D91"/>
    <w:rsid w:val="495A3C34"/>
    <w:rsid w:val="4B6A2327"/>
    <w:rsid w:val="52A01BF6"/>
    <w:rsid w:val="54A76A28"/>
    <w:rsid w:val="5584365C"/>
    <w:rsid w:val="58A6002D"/>
    <w:rsid w:val="59C5394B"/>
    <w:rsid w:val="5AD96807"/>
    <w:rsid w:val="5DE5408C"/>
    <w:rsid w:val="5F100122"/>
    <w:rsid w:val="627A5E9C"/>
    <w:rsid w:val="69666807"/>
    <w:rsid w:val="6C694C23"/>
    <w:rsid w:val="70027824"/>
    <w:rsid w:val="75561137"/>
    <w:rsid w:val="75F44D1B"/>
    <w:rsid w:val="7689046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880" w:firstLineChars="200"/>
      <w:jc w:val="both"/>
    </w:pPr>
    <w:rPr>
      <w:rFonts w:ascii="Times New Roman" w:hAnsi="Times New Roman" w:eastAsia="仿宋_GB2312" w:cs="Times New Roman"/>
      <w:kern w:val="2"/>
      <w:sz w:val="32"/>
      <w:szCs w:val="22"/>
      <w:lang w:val="en-US" w:eastAsia="zh-CN" w:bidi="ar-SA"/>
    </w:rPr>
  </w:style>
  <w:style w:type="paragraph" w:styleId="2">
    <w:name w:val="heading 1"/>
    <w:basedOn w:val="1"/>
    <w:next w:val="1"/>
    <w:link w:val="17"/>
    <w:qFormat/>
    <w:uiPriority w:val="9"/>
    <w:pPr>
      <w:keepNext/>
      <w:keepLines/>
      <w:spacing w:before="280" w:after="280" w:line="579" w:lineRule="auto"/>
      <w:ind w:firstLine="0" w:firstLineChars="0"/>
      <w:outlineLvl w:val="0"/>
    </w:pPr>
    <w:rPr>
      <w:rFonts w:eastAsia="黑体"/>
      <w:b/>
      <w:bCs/>
      <w:kern w:val="44"/>
      <w:szCs w:val="44"/>
    </w:rPr>
  </w:style>
  <w:style w:type="paragraph" w:styleId="3">
    <w:name w:val="heading 2"/>
    <w:basedOn w:val="1"/>
    <w:next w:val="1"/>
    <w:link w:val="18"/>
    <w:unhideWhenUsed/>
    <w:qFormat/>
    <w:uiPriority w:val="9"/>
    <w:pPr>
      <w:keepNext/>
      <w:keepLines/>
      <w:spacing w:before="260" w:after="260" w:line="416" w:lineRule="auto"/>
      <w:ind w:firstLine="0" w:firstLineChars="0"/>
      <w:outlineLvl w:val="1"/>
    </w:pPr>
    <w:rPr>
      <w:b/>
      <w:bCs/>
      <w:szCs w:val="32"/>
    </w:rPr>
  </w:style>
  <w:style w:type="character" w:default="1" w:styleId="14">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4">
    <w:name w:val="Body Text"/>
    <w:basedOn w:val="1"/>
    <w:next w:val="1"/>
    <w:qFormat/>
    <w:uiPriority w:val="0"/>
    <w:pPr>
      <w:widowControl w:val="0"/>
      <w:adjustRightInd/>
      <w:snapToGrid/>
      <w:jc w:val="left"/>
    </w:pPr>
    <w:rPr>
      <w:b/>
      <w:kern w:val="2"/>
      <w:sz w:val="28"/>
      <w:szCs w:val="24"/>
      <w:lang w:eastAsia="zh-CN" w:bidi="ar-SA"/>
    </w:rPr>
  </w:style>
  <w:style w:type="paragraph" w:styleId="5">
    <w:name w:val="Balloon Text"/>
    <w:basedOn w:val="1"/>
    <w:link w:val="19"/>
    <w:unhideWhenUsed/>
    <w:qFormat/>
    <w:uiPriority w:val="99"/>
    <w:rPr>
      <w:sz w:val="18"/>
      <w:szCs w:val="18"/>
    </w:rPr>
  </w:style>
  <w:style w:type="paragraph" w:styleId="6">
    <w:name w:val="footer"/>
    <w:basedOn w:val="1"/>
    <w:link w:val="16"/>
    <w:unhideWhenUsed/>
    <w:qFormat/>
    <w:uiPriority w:val="99"/>
    <w:pPr>
      <w:tabs>
        <w:tab w:val="center" w:pos="4153"/>
        <w:tab w:val="right" w:pos="8306"/>
      </w:tabs>
      <w:snapToGrid w:val="0"/>
      <w:jc w:val="left"/>
    </w:pPr>
    <w:rPr>
      <w:sz w:val="18"/>
      <w:szCs w:val="18"/>
    </w:rPr>
  </w:style>
  <w:style w:type="paragraph" w:styleId="7">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style>
  <w:style w:type="paragraph" w:styleId="9">
    <w:name w:val="toc 2"/>
    <w:basedOn w:val="1"/>
    <w:next w:val="1"/>
    <w:unhideWhenUsed/>
    <w:qFormat/>
    <w:uiPriority w:val="39"/>
    <w:pPr>
      <w:ind w:left="420" w:leftChars="200"/>
    </w:pPr>
  </w:style>
  <w:style w:type="paragraph" w:styleId="10">
    <w:name w:val="Normal (Web)"/>
    <w:basedOn w:val="1"/>
    <w:qFormat/>
    <w:uiPriority w:val="0"/>
    <w:rPr>
      <w:sz w:val="24"/>
    </w:rPr>
  </w:style>
  <w:style w:type="paragraph" w:styleId="11">
    <w:name w:val="Title"/>
    <w:basedOn w:val="1"/>
    <w:next w:val="1"/>
    <w:unhideWhenUsed/>
    <w:qFormat/>
    <w:uiPriority w:val="0"/>
    <w:pPr>
      <w:spacing w:beforeLines="0" w:afterLines="0"/>
      <w:jc w:val="center"/>
      <w:outlineLvl w:val="0"/>
    </w:pPr>
    <w:rPr>
      <w:rFonts w:hint="eastAsia" w:ascii="方正小标宋_GBK" w:hAnsi="方正小标宋_GBK" w:eastAsia="方正小标宋_GBK" w:cs="方正小标宋_GBK"/>
      <w:sz w:val="44"/>
      <w:szCs w:val="44"/>
    </w:r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Hyperlink"/>
    <w:basedOn w:val="14"/>
    <w:unhideWhenUsed/>
    <w:qFormat/>
    <w:uiPriority w:val="99"/>
    <w:rPr>
      <w:color w:val="0563C1"/>
      <w:u w:val="single"/>
    </w:rPr>
  </w:style>
  <w:style w:type="character" w:customStyle="1" w:styleId="16">
    <w:name w:val="页脚 Char"/>
    <w:basedOn w:val="14"/>
    <w:link w:val="6"/>
    <w:qFormat/>
    <w:uiPriority w:val="99"/>
    <w:rPr>
      <w:sz w:val="18"/>
      <w:szCs w:val="18"/>
    </w:rPr>
  </w:style>
  <w:style w:type="character" w:customStyle="1" w:styleId="17">
    <w:name w:val="标题 1 Char"/>
    <w:basedOn w:val="14"/>
    <w:link w:val="2"/>
    <w:qFormat/>
    <w:uiPriority w:val="9"/>
    <w:rPr>
      <w:rFonts w:ascii="Times New Roman" w:hAnsi="Times New Roman" w:eastAsia="黑体"/>
      <w:b/>
      <w:bCs/>
      <w:kern w:val="44"/>
      <w:sz w:val="32"/>
      <w:szCs w:val="44"/>
    </w:rPr>
  </w:style>
  <w:style w:type="character" w:customStyle="1" w:styleId="18">
    <w:name w:val="标题 2 Char"/>
    <w:basedOn w:val="14"/>
    <w:link w:val="3"/>
    <w:qFormat/>
    <w:uiPriority w:val="9"/>
    <w:rPr>
      <w:rFonts w:ascii="Times New Roman" w:hAnsi="Times New Roman" w:eastAsia="仿宋_GB2312" w:cs="Times New Roman"/>
      <w:b/>
      <w:bCs/>
      <w:sz w:val="32"/>
      <w:szCs w:val="32"/>
    </w:rPr>
  </w:style>
  <w:style w:type="character" w:customStyle="1" w:styleId="19">
    <w:name w:val="批注框文本 Char"/>
    <w:basedOn w:val="14"/>
    <w:link w:val="5"/>
    <w:semiHidden/>
    <w:qFormat/>
    <w:uiPriority w:val="99"/>
    <w:rPr>
      <w:sz w:val="18"/>
      <w:szCs w:val="18"/>
    </w:rPr>
  </w:style>
  <w:style w:type="character" w:customStyle="1" w:styleId="20">
    <w:name w:val="页眉 Char"/>
    <w:basedOn w:val="14"/>
    <w:link w:val="7"/>
    <w:qFormat/>
    <w:uiPriority w:val="99"/>
    <w:rPr>
      <w:sz w:val="18"/>
      <w:szCs w:val="18"/>
    </w:rPr>
  </w:style>
  <w:style w:type="paragraph" w:styleId="21">
    <w:name w:val="List Paragraph"/>
    <w:basedOn w:val="1"/>
    <w:qFormat/>
    <w:uiPriority w:val="34"/>
    <w:pPr>
      <w:ind w:firstLine="420" w:firstLineChars="200"/>
    </w:pPr>
  </w:style>
  <w:style w:type="paragraph" w:customStyle="1" w:styleId="22">
    <w:name w:val="TOC Heading"/>
    <w:basedOn w:val="2"/>
    <w:next w:val="1"/>
    <w:unhideWhenUsed/>
    <w:qFormat/>
    <w:uiPriority w:val="39"/>
    <w:pPr>
      <w:widowControl/>
      <w:spacing w:before="240" w:after="0" w:line="259" w:lineRule="auto"/>
      <w:jc w:val="left"/>
      <w:outlineLvl w:val="9"/>
    </w:pPr>
    <w:rPr>
      <w:rFonts w:ascii="等线 Light" w:hAnsi="等线 Light" w:eastAsia="等线 Light" w:cs="Times New Roman"/>
      <w:b w:val="0"/>
      <w:bCs w:val="0"/>
      <w:color w:val="2F5496"/>
      <w:kern w:val="0"/>
      <w:sz w:val="32"/>
      <w:szCs w:val="32"/>
    </w:rPr>
  </w:style>
  <w:style w:type="paragraph" w:customStyle="1" w:styleId="23">
    <w:name w:val="Default"/>
    <w:basedOn w:val="24"/>
    <w:qFormat/>
    <w:uiPriority w:val="0"/>
    <w:pPr>
      <w:widowControl w:val="0"/>
      <w:autoSpaceDE w:val="0"/>
      <w:autoSpaceDN w:val="0"/>
      <w:adjustRightInd w:val="0"/>
      <w:snapToGrid w:val="0"/>
      <w:spacing w:line="240" w:lineRule="atLeast"/>
    </w:pPr>
    <w:rPr>
      <w:rFonts w:ascii="Times New Roman" w:hAnsi="Times New Roman" w:eastAsia="宋体" w:cs="宋体"/>
      <w:color w:val="000000"/>
      <w:kern w:val="0"/>
      <w:sz w:val="18"/>
      <w:szCs w:val="24"/>
      <w:lang w:val="en-US" w:eastAsia="zh-CN" w:bidi="ar-SA"/>
    </w:rPr>
  </w:style>
  <w:style w:type="paragraph" w:customStyle="1" w:styleId="24">
    <w:name w:val="纯文本1"/>
    <w:basedOn w:val="1"/>
    <w:unhideWhenUsed/>
    <w:qFormat/>
    <w:uiPriority w:val="0"/>
    <w:pPr>
      <w:adjustRightInd w:val="0"/>
      <w:spacing w:beforeLines="0" w:afterLines="0"/>
    </w:pPr>
    <w:rPr>
      <w:rFonts w:hint="default" w:ascii="宋体" w:hAnsi="Courier New" w:eastAsia="宋体"/>
      <w:sz w:val="21"/>
      <w:szCs w:val="20"/>
    </w:rPr>
  </w:style>
  <w:style w:type="paragraph" w:customStyle="1" w:styleId="25">
    <w:name w:val="表格左对齐"/>
    <w:qFormat/>
    <w:uiPriority w:val="0"/>
    <w:pPr>
      <w:spacing w:before="60" w:after="60" w:line="300" w:lineRule="auto"/>
      <w:jc w:val="both"/>
    </w:pPr>
    <w:rPr>
      <w:rFonts w:ascii="Times New Roman" w:hAnsi="Times New Roman" w:eastAsia="仿宋" w:cs="Times New Roman"/>
      <w:kern w:val="0"/>
      <w:sz w:val="24"/>
      <w:szCs w:val="24"/>
      <w:lang w:val="en-US" w:eastAsia="zh-CN" w:bidi="ar-SA"/>
    </w:rPr>
  </w:style>
  <w:style w:type="paragraph" w:customStyle="1" w:styleId="26">
    <w:name w:val="Table Paragraph"/>
    <w:basedOn w:val="1"/>
    <w:qFormat/>
    <w:uiPriority w:val="1"/>
    <w:rPr>
      <w:rFonts w:ascii="仿宋" w:hAnsi="仿宋" w:eastAsia="仿宋" w:cs="仿宋"/>
    </w:rPr>
  </w:style>
  <w:style w:type="paragraph" w:customStyle="1" w:styleId="27">
    <w:name w:val="图片标题"/>
    <w:basedOn w:val="28"/>
    <w:qFormat/>
    <w:uiPriority w:val="0"/>
    <w:pPr>
      <w:outlineLvl w:val="6"/>
    </w:pPr>
    <w:rPr>
      <w:rFonts w:ascii="Times New Roman" w:hAnsi="Times New Roman" w:eastAsia="仿宋"/>
    </w:rPr>
  </w:style>
  <w:style w:type="paragraph" w:customStyle="1" w:styleId="28">
    <w:name w:val="表格标题"/>
    <w:basedOn w:val="1"/>
    <w:qFormat/>
    <w:uiPriority w:val="0"/>
    <w:pPr>
      <w:widowControl w:val="0"/>
      <w:spacing w:line="240" w:lineRule="auto"/>
      <w:ind w:firstLine="0" w:firstLineChars="0"/>
      <w:jc w:val="center"/>
      <w:outlineLvl w:val="6"/>
    </w:pPr>
    <w:rPr>
      <w:b/>
      <w:color w:val="auto"/>
      <w:kern w:val="2"/>
      <w:sz w:val="28"/>
      <w:szCs w:val="28"/>
      <w:lang w:eastAsia="zh-CN" w:bidi="ar-SA"/>
    </w:rPr>
  </w:style>
  <w:style w:type="character" w:customStyle="1" w:styleId="29">
    <w:name w:val="font11"/>
    <w:basedOn w:val="14"/>
    <w:qFormat/>
    <w:uiPriority w:val="0"/>
    <w:rPr>
      <w:rFonts w:hint="eastAsia" w:ascii="宋体" w:hAnsi="宋体" w:eastAsia="宋体" w:cs="宋体"/>
      <w:color w:val="000000"/>
      <w:sz w:val="24"/>
      <w:szCs w:val="24"/>
      <w:u w:val="none"/>
    </w:rPr>
  </w:style>
  <w:style w:type="character" w:customStyle="1" w:styleId="30">
    <w:name w:val="font41"/>
    <w:basedOn w:val="14"/>
    <w:qFormat/>
    <w:uiPriority w:val="0"/>
    <w:rPr>
      <w:rFonts w:hint="default" w:ascii="Times New Roman" w:hAnsi="Times New Roman" w:cs="Times New Roman"/>
      <w:color w:val="000000"/>
      <w:sz w:val="24"/>
      <w:szCs w:val="24"/>
      <w:u w:val="none"/>
    </w:rPr>
  </w:style>
  <w:style w:type="character" w:customStyle="1" w:styleId="31">
    <w:name w:val="font51"/>
    <w:basedOn w:val="14"/>
    <w:qFormat/>
    <w:uiPriority w:val="0"/>
    <w:rPr>
      <w:rFonts w:hint="default" w:ascii="Times New Roman" w:hAnsi="Times New Roman" w:cs="Times New Roman"/>
      <w:color w:val="000000"/>
      <w:sz w:val="24"/>
      <w:szCs w:val="24"/>
      <w:u w:val="none"/>
      <w:vertAlign w:val="subscript"/>
    </w:rPr>
  </w:style>
  <w:style w:type="character" w:customStyle="1" w:styleId="32">
    <w:name w:val="font21"/>
    <w:basedOn w:val="14"/>
    <w:qFormat/>
    <w:uiPriority w:val="0"/>
    <w:rPr>
      <w:rFonts w:hint="default" w:ascii="Times New Roman" w:hAnsi="Times New Roman" w:cs="Times New Roman"/>
      <w:color w:val="000000"/>
      <w:sz w:val="24"/>
      <w:szCs w:val="24"/>
      <w:u w:val="none"/>
    </w:rPr>
  </w:style>
  <w:style w:type="character" w:customStyle="1" w:styleId="33">
    <w:name w:val="font01"/>
    <w:basedOn w:val="14"/>
    <w:qFormat/>
    <w:uiPriority w:val="0"/>
    <w:rPr>
      <w:rFonts w:hint="eastAsia" w:ascii="宋体" w:hAnsi="宋体" w:eastAsia="宋体" w:cs="宋体"/>
      <w:color w:val="000000"/>
      <w:sz w:val="24"/>
      <w:szCs w:val="24"/>
      <w:u w:val="none"/>
    </w:rPr>
  </w:style>
  <w:style w:type="character" w:customStyle="1" w:styleId="34">
    <w:name w:val="font31"/>
    <w:basedOn w:val="14"/>
    <w:qFormat/>
    <w:uiPriority w:val="0"/>
    <w:rPr>
      <w:rFonts w:hint="default" w:ascii="Times New Roman" w:hAnsi="Times New Roman" w:cs="Times New Roman"/>
      <w:color w:val="000000"/>
      <w:sz w:val="24"/>
      <w:szCs w:val="24"/>
      <w:u w:val="none"/>
      <w:vertAlign w:val="subscript"/>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4.emf"/><Relationship Id="rId13" Type="http://schemas.openxmlformats.org/officeDocument/2006/relationships/oleObject" Target="embeddings/oleObject1.bin"/><Relationship Id="rId12" Type="http://schemas.openxmlformats.org/officeDocument/2006/relationships/image" Target="media/image3.png"/><Relationship Id="rId11" Type="http://schemas.openxmlformats.org/officeDocument/2006/relationships/image" Target="media/image2.jpe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extobjs>
    <extobj name="ECB019B1-382A-4266-B25C-5B523AA43C14-1">
      <extobjdata type="ECB019B1-382A-4266-B25C-5B523AA43C14" data="ewoJIkZpbGVJZCIgOiAiNDE1MDEwNjM3MTg3IiwKCSJHcm91cElkIiA6ICIxMjY5NjQxMjYiLAoJIkltYWdlIiA6ICJpVkJPUncwS0dnb0FBQUFOU1VoRVVnQUFCWjBBQUFIekNBWUFBQUJMK0xNS0FBQUFBWE5TUjBJQXJzNGM2UUFBSUFCSlJFRlVlSnpzM1hkMFZGWC8vdjFya2trbEFVSUxLTDJqaHFxSWxDL1ZLRTBwaGlxaWlJTEFMU1VJU08rUklqVkJxbURBb0tFRVVJalNwZHdJaUVSUUVHNXBJcEFBUWlBWUpza2s4L3NqVCtaaG1Fa0JSZ0w2ZnEzRldzN2UrK3l6VDA1WUxxL1pmcllF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VVHYitEeFZPUTBZdUxndVBBQUFBQUVsRlRrU3VRbUNDIiwKCSJUaGVtZSIgOiAiIiwKCSJUeXBlIiA6ICJmbG93IiwKCSJVc2VySWQiIDogIjIzNTExNjk4NSIsCgkiVmVyc2lvbiIgOiAiMjciCn0K"/>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lemon</Company>
  <Pages>20</Pages>
  <Words>3864</Words>
  <Characters>4238</Characters>
  <Lines>50</Lines>
  <Paragraphs>14</Paragraphs>
  <TotalTime>12</TotalTime>
  <ScaleCrop>false</ScaleCrop>
  <LinksUpToDate>false</LinksUpToDate>
  <CharactersWithSpaces>4350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2021-07-13T09:15:00Z</dcterms:created>
  <dc:creator>Lu Jinli</dc:creator>
  <cp:lastModifiedBy>枫雨灬少关丶</cp:lastModifiedBy>
  <cp:lastPrinted>2021-08-04T07:29:00Z</cp:lastPrinted>
  <dcterms:modified xsi:type="dcterms:W3CDTF">2025-06-26T06:40:05Z</dcterms:modified>
  <cp:revision>312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A0DCDD4E704845DA83EAFF221C47C16A_13</vt:lpwstr>
  </property>
  <property fmtid="{D5CDD505-2E9C-101B-9397-08002B2CF9AE}" pid="4" name="KSOTemplateDocerSaveRecord">
    <vt:lpwstr>eyJoZGlkIjoiZDAyZTRhOTI4MGIwMjJmY2I5MGM0Mjk4OGJlZjcwZjEiLCJ1c2VySWQiOiIxMjM1MjY2OCJ9</vt:lpwstr>
  </property>
</Properties>
</file>