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6A19D0">
      <w:pPr>
        <w:ind w:left="0" w:leftChars="0" w:firstLine="0" w:firstLineChars="0"/>
        <w:rPr>
          <w:rFonts w:hint="eastAsia"/>
        </w:rPr>
      </w:pPr>
      <w:bookmarkStart w:id="28" w:name="_GoBack"/>
      <w:bookmarkEnd w:id="28"/>
    </w:p>
    <w:p w14:paraId="45F30FBE">
      <w:pPr>
        <w:ind w:left="0" w:leftChars="0" w:firstLine="0" w:firstLineChars="0"/>
        <w:rPr>
          <w:rFonts w:hint="eastAsia"/>
        </w:rPr>
      </w:pPr>
    </w:p>
    <w:p w14:paraId="7DEC4DBB">
      <w:pPr>
        <w:ind w:left="0" w:leftChars="0" w:firstLine="0" w:firstLineChars="0"/>
        <w:rPr>
          <w:rFonts w:hint="eastAsia"/>
        </w:rPr>
      </w:pPr>
    </w:p>
    <w:p w14:paraId="432D99D3">
      <w:pPr>
        <w:ind w:left="0" w:leftChars="0" w:firstLine="0" w:firstLineChars="0"/>
        <w:rPr>
          <w:rFonts w:hint="eastAsia"/>
        </w:rPr>
      </w:pPr>
    </w:p>
    <w:p w14:paraId="2E254974">
      <w:pPr>
        <w:ind w:left="0" w:leftChars="0" w:firstLine="0" w:firstLineChars="0"/>
        <w:rPr>
          <w:rFonts w:hint="eastAsia"/>
        </w:rPr>
      </w:pPr>
    </w:p>
    <w:p w14:paraId="286C7154">
      <w:pPr>
        <w:ind w:left="0" w:leftChars="0" w:firstLine="0" w:firstLineChars="0"/>
        <w:jc w:val="center"/>
        <w:rPr>
          <w:rFonts w:hint="default" w:eastAsia="宋体"/>
          <w:sz w:val="44"/>
          <w:szCs w:val="44"/>
          <w:lang w:val="en-US" w:eastAsia="zh-CN"/>
        </w:rPr>
      </w:pPr>
      <w:r>
        <w:rPr>
          <w:rFonts w:hint="eastAsia"/>
          <w:sz w:val="44"/>
          <w:szCs w:val="44"/>
          <w:lang w:val="en-US" w:eastAsia="zh-CN"/>
        </w:rPr>
        <w:t>安徽汉马发动机有限公司</w:t>
      </w:r>
    </w:p>
    <w:p w14:paraId="13551EB5">
      <w:pPr>
        <w:ind w:left="0" w:leftChars="0" w:firstLine="0" w:firstLineChars="0"/>
        <w:jc w:val="center"/>
        <w:rPr>
          <w:rFonts w:hint="eastAsia"/>
          <w:sz w:val="44"/>
          <w:szCs w:val="44"/>
        </w:rPr>
      </w:pPr>
      <w:r>
        <w:rPr>
          <w:rFonts w:hint="eastAsia"/>
          <w:sz w:val="44"/>
          <w:szCs w:val="44"/>
        </w:rPr>
        <w:t>产品碳足迹</w:t>
      </w:r>
      <w:r>
        <w:rPr>
          <w:rFonts w:hint="eastAsia"/>
          <w:sz w:val="44"/>
          <w:szCs w:val="44"/>
          <w:lang w:val="en-US" w:eastAsia="zh-CN"/>
        </w:rPr>
        <w:t>核查</w:t>
      </w:r>
      <w:r>
        <w:rPr>
          <w:rFonts w:hint="eastAsia"/>
          <w:sz w:val="44"/>
          <w:szCs w:val="44"/>
        </w:rPr>
        <w:t>报告</w:t>
      </w:r>
    </w:p>
    <w:p w14:paraId="7DAB7B09">
      <w:pPr>
        <w:ind w:left="0" w:leftChars="0" w:firstLine="0" w:firstLineChars="0"/>
        <w:rPr>
          <w:rFonts w:hint="eastAsia"/>
        </w:rPr>
      </w:pPr>
    </w:p>
    <w:p w14:paraId="06A4E69D">
      <w:pPr>
        <w:ind w:left="0" w:leftChars="0" w:firstLine="0" w:firstLineChars="0"/>
        <w:rPr>
          <w:rFonts w:hint="eastAsia"/>
        </w:rPr>
      </w:pPr>
    </w:p>
    <w:p w14:paraId="71DD8AF1">
      <w:pPr>
        <w:ind w:left="0" w:leftChars="0" w:firstLine="0" w:firstLineChars="0"/>
        <w:rPr>
          <w:rFonts w:hint="eastAsia"/>
        </w:rPr>
      </w:pPr>
    </w:p>
    <w:p w14:paraId="03D2A418">
      <w:pPr>
        <w:ind w:left="0" w:leftChars="0" w:firstLine="0" w:firstLineChars="0"/>
        <w:rPr>
          <w:rFonts w:hint="eastAsia"/>
        </w:rPr>
      </w:pPr>
    </w:p>
    <w:p w14:paraId="16E42AA8">
      <w:pPr>
        <w:ind w:left="0" w:leftChars="0" w:firstLine="0" w:firstLineChars="0"/>
        <w:rPr>
          <w:rFonts w:hint="eastAsia"/>
        </w:rPr>
      </w:pPr>
    </w:p>
    <w:p w14:paraId="0C8F49E0">
      <w:pPr>
        <w:ind w:left="0" w:leftChars="0" w:firstLine="0" w:firstLineChars="0"/>
        <w:rPr>
          <w:rFonts w:hint="eastAsia"/>
        </w:rPr>
      </w:pPr>
    </w:p>
    <w:p w14:paraId="1011DFB2">
      <w:pPr>
        <w:keepNext w:val="0"/>
        <w:keepLines w:val="0"/>
        <w:pageBreakBefore w:val="0"/>
        <w:widowControl w:val="0"/>
        <w:kinsoku/>
        <w:wordWrap/>
        <w:overflowPunct/>
        <w:topLinePunct w:val="0"/>
        <w:autoSpaceDE/>
        <w:autoSpaceDN/>
        <w:bidi w:val="0"/>
        <w:adjustRightInd w:val="0"/>
        <w:snapToGrid w:val="0"/>
        <w:ind w:left="1680" w:leftChars="600" w:firstLine="0" w:firstLineChars="0"/>
        <w:jc w:val="left"/>
        <w:textAlignment w:val="auto"/>
        <w:rPr>
          <w:rFonts w:hint="default" w:eastAsia="宋体"/>
          <w:lang w:val="en-US" w:eastAsia="zh-CN"/>
        </w:rPr>
      </w:pPr>
      <w:r>
        <w:rPr>
          <w:rFonts w:hint="eastAsia"/>
        </w:rPr>
        <w:t>制造商：</w:t>
      </w:r>
      <w:r>
        <w:rPr>
          <w:rFonts w:hint="eastAsia"/>
          <w:lang w:val="en-US" w:eastAsia="zh-CN"/>
        </w:rPr>
        <w:t>安徽汉马发动机有限公司</w:t>
      </w:r>
    </w:p>
    <w:p w14:paraId="45F5D044">
      <w:pPr>
        <w:keepNext w:val="0"/>
        <w:keepLines w:val="0"/>
        <w:pageBreakBefore w:val="0"/>
        <w:widowControl w:val="0"/>
        <w:kinsoku/>
        <w:wordWrap/>
        <w:overflowPunct/>
        <w:topLinePunct w:val="0"/>
        <w:autoSpaceDE/>
        <w:autoSpaceDN/>
        <w:bidi w:val="0"/>
        <w:adjustRightInd w:val="0"/>
        <w:snapToGrid w:val="0"/>
        <w:ind w:left="1680" w:leftChars="600" w:firstLine="0" w:firstLineChars="0"/>
        <w:jc w:val="left"/>
        <w:textAlignment w:val="auto"/>
        <w:rPr>
          <w:rFonts w:hint="default"/>
          <w:lang w:val="en-US" w:eastAsia="zh-CN"/>
        </w:rPr>
      </w:pPr>
      <w:r>
        <w:rPr>
          <w:rFonts w:hint="eastAsia"/>
          <w:lang w:val="en-US" w:eastAsia="zh-CN"/>
        </w:rPr>
        <w:t>行业分类：汽车零部件及配件制造</w:t>
      </w:r>
    </w:p>
    <w:p w14:paraId="258320C6">
      <w:pPr>
        <w:keepNext w:val="0"/>
        <w:keepLines w:val="0"/>
        <w:pageBreakBefore w:val="0"/>
        <w:widowControl w:val="0"/>
        <w:kinsoku/>
        <w:wordWrap/>
        <w:overflowPunct/>
        <w:topLinePunct w:val="0"/>
        <w:autoSpaceDE/>
        <w:autoSpaceDN/>
        <w:bidi w:val="0"/>
        <w:adjustRightInd w:val="0"/>
        <w:snapToGrid w:val="0"/>
        <w:ind w:left="1680" w:leftChars="600" w:firstLine="0" w:firstLineChars="0"/>
        <w:jc w:val="left"/>
        <w:textAlignment w:val="auto"/>
        <w:rPr>
          <w:rFonts w:hint="eastAsia"/>
        </w:rPr>
      </w:pPr>
      <w:r>
        <w:rPr>
          <w:rFonts w:hint="eastAsia"/>
        </w:rPr>
        <w:t>背景数据库：Professional+++Extensions</w:t>
      </w:r>
    </w:p>
    <w:p w14:paraId="12629D6B">
      <w:pPr>
        <w:ind w:left="0" w:leftChars="0" w:firstLine="0" w:firstLineChars="0"/>
        <w:jc w:val="center"/>
        <w:rPr>
          <w:rFonts w:hint="eastAsia"/>
        </w:rPr>
      </w:pPr>
    </w:p>
    <w:p w14:paraId="172F36C8">
      <w:pPr>
        <w:ind w:left="0" w:leftChars="0" w:firstLine="0" w:firstLineChars="0"/>
        <w:jc w:val="center"/>
        <w:rPr>
          <w:rFonts w:hint="eastAsia"/>
        </w:rPr>
      </w:pPr>
    </w:p>
    <w:p w14:paraId="659D0E60">
      <w:pPr>
        <w:ind w:left="0" w:leftChars="0" w:firstLine="0" w:firstLineChars="0"/>
        <w:jc w:val="center"/>
        <w:rPr>
          <w:rFonts w:hint="eastAsia"/>
        </w:rPr>
      </w:pPr>
      <w:r>
        <w:rPr>
          <w:rFonts w:hint="eastAsia" w:ascii="仿宋" w:hAnsi="仿宋" w:eastAsia="仿宋"/>
          <w:sz w:val="32"/>
          <w:szCs w:val="32"/>
          <w:lang w:eastAsia="zh-CN"/>
        </w:rPr>
        <w:drawing>
          <wp:anchor distT="0" distB="0" distL="114300" distR="114300" simplePos="0" relativeHeight="251659264" behindDoc="1" locked="0" layoutInCell="1" allowOverlap="1">
            <wp:simplePos x="0" y="0"/>
            <wp:positionH relativeFrom="column">
              <wp:posOffset>1909445</wp:posOffset>
            </wp:positionH>
            <wp:positionV relativeFrom="paragraph">
              <wp:posOffset>85725</wp:posOffset>
            </wp:positionV>
            <wp:extent cx="1511935" cy="1494790"/>
            <wp:effectExtent l="0" t="0" r="12065" b="10160"/>
            <wp:wrapNone/>
            <wp:docPr id="2" name="图片 2" descr="d219950915e7ef9de78a7e08fbdb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219950915e7ef9de78a7e08fbdb515"/>
                    <pic:cNvPicPr>
                      <a:picLocks noChangeAspect="1"/>
                    </pic:cNvPicPr>
                  </pic:nvPicPr>
                  <pic:blipFill>
                    <a:blip r:embed="rId7"/>
                    <a:stretch>
                      <a:fillRect/>
                    </a:stretch>
                  </pic:blipFill>
                  <pic:spPr>
                    <a:xfrm>
                      <a:off x="0" y="0"/>
                      <a:ext cx="1511935" cy="1494790"/>
                    </a:xfrm>
                    <a:prstGeom prst="rect">
                      <a:avLst/>
                    </a:prstGeom>
                  </pic:spPr>
                </pic:pic>
              </a:graphicData>
            </a:graphic>
          </wp:anchor>
        </w:drawing>
      </w:r>
    </w:p>
    <w:p w14:paraId="7CC5C4E4">
      <w:pPr>
        <w:ind w:left="0" w:leftChars="0" w:firstLine="0" w:firstLineChars="0"/>
        <w:jc w:val="center"/>
        <w:rPr>
          <w:rFonts w:hint="eastAsia"/>
        </w:rPr>
      </w:pPr>
    </w:p>
    <w:p w14:paraId="31CB4A4D">
      <w:pPr>
        <w:ind w:left="0" w:leftChars="0" w:firstLine="0" w:firstLineChars="0"/>
        <w:jc w:val="center"/>
        <w:rPr>
          <w:rFonts w:hint="eastAsia"/>
        </w:rPr>
      </w:pPr>
      <w:r>
        <w:rPr>
          <w:rFonts w:hint="eastAsia"/>
        </w:rPr>
        <w:t>合肥碳助手环境科技有限公司</w:t>
      </w:r>
    </w:p>
    <w:p w14:paraId="38913EF4">
      <w:pPr>
        <w:ind w:left="0" w:leftChars="0" w:firstLine="0" w:firstLineChars="0"/>
        <w:jc w:val="center"/>
        <w:rPr>
          <w:rFonts w:hint="eastAsia"/>
        </w:rPr>
      </w:pPr>
      <w:r>
        <w:rPr>
          <w:rFonts w:hint="eastAsia"/>
        </w:rPr>
        <w:t>日期：202</w:t>
      </w:r>
      <w:r>
        <w:rPr>
          <w:rFonts w:hint="eastAsia"/>
          <w:lang w:val="en-US" w:eastAsia="zh-CN"/>
        </w:rPr>
        <w:t>5</w:t>
      </w:r>
      <w:r>
        <w:rPr>
          <w:rFonts w:hint="eastAsia"/>
        </w:rPr>
        <w:t>年</w:t>
      </w:r>
      <w:r>
        <w:rPr>
          <w:rFonts w:hint="eastAsia"/>
          <w:lang w:val="en-US" w:eastAsia="zh-CN"/>
        </w:rPr>
        <w:t>4</w:t>
      </w:r>
      <w:r>
        <w:rPr>
          <w:rFonts w:hint="eastAsia"/>
        </w:rPr>
        <w:t>月</w:t>
      </w:r>
    </w:p>
    <w:p w14:paraId="3CD7DF1F">
      <w:pPr>
        <w:ind w:left="0" w:leftChars="0" w:firstLine="0" w:firstLineChars="0"/>
        <w:rPr>
          <w:rFonts w:hint="eastAsia"/>
        </w:rPr>
      </w:pPr>
    </w:p>
    <w:p w14:paraId="64C95AC2">
      <w:pPr>
        <w:ind w:left="0" w:leftChars="0" w:firstLine="0" w:firstLineChars="0"/>
        <w:rPr>
          <w:rFonts w:hint="eastAsia"/>
        </w:rPr>
      </w:pPr>
    </w:p>
    <w:p w14:paraId="09155151">
      <w:pPr>
        <w:ind w:left="0" w:leftChars="0" w:firstLine="0" w:firstLineChars="0"/>
        <w:rPr>
          <w:rFonts w:hint="eastAsia"/>
        </w:rPr>
      </w:pPr>
    </w:p>
    <w:p w14:paraId="4CF0AB46">
      <w:pPr>
        <w:ind w:left="0" w:leftChars="0" w:firstLine="0" w:firstLineChars="0"/>
        <w:jc w:val="center"/>
        <w:rPr>
          <w:rFonts w:hint="default" w:eastAsia="宋体"/>
          <w:sz w:val="30"/>
          <w:szCs w:val="30"/>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615A2767">
      <w:pPr>
        <w:bidi w:val="0"/>
        <w:ind w:left="0" w:leftChars="0" w:firstLine="0" w:firstLineChars="0"/>
        <w:jc w:val="center"/>
        <w:rPr>
          <w:rFonts w:hint="eastAsia" w:ascii="黑体" w:hAnsi="黑体" w:eastAsia="黑体" w:cs="黑体"/>
          <w:sz w:val="44"/>
          <w:szCs w:val="44"/>
          <w:lang w:eastAsia="en-US"/>
        </w:rPr>
      </w:pPr>
    </w:p>
    <w:p w14:paraId="039996A0">
      <w:pPr>
        <w:bidi w:val="0"/>
        <w:ind w:left="0" w:leftChars="0" w:firstLine="0" w:firstLineChars="0"/>
        <w:jc w:val="center"/>
        <w:rPr>
          <w:rFonts w:hint="eastAsia" w:ascii="黑体" w:hAnsi="黑体" w:eastAsia="黑体" w:cs="黑体"/>
          <w:sz w:val="44"/>
          <w:szCs w:val="44"/>
          <w:lang w:eastAsia="en-US"/>
        </w:rPr>
      </w:pPr>
      <w:r>
        <w:rPr>
          <w:rFonts w:hint="eastAsia" w:ascii="黑体" w:hAnsi="黑体" w:eastAsia="黑体" w:cs="黑体"/>
          <w:sz w:val="44"/>
          <w:szCs w:val="44"/>
          <w:lang w:eastAsia="en-US"/>
        </w:rPr>
        <w:t>免责声明</w:t>
      </w:r>
    </w:p>
    <w:p w14:paraId="31F1C542">
      <w:pPr>
        <w:bidi w:val="0"/>
        <w:rPr>
          <w:lang w:val="en-US" w:eastAsia="en-US"/>
        </w:rPr>
      </w:pPr>
    </w:p>
    <w:p w14:paraId="088C0E7A">
      <w:pPr>
        <w:bidi w:val="0"/>
        <w:rPr>
          <w:lang w:val="en-US" w:eastAsia="en-US"/>
        </w:rPr>
      </w:pPr>
    </w:p>
    <w:p w14:paraId="27D690EC">
      <w:pPr>
        <w:bidi w:val="0"/>
        <w:rPr>
          <w:lang w:eastAsia="en-US"/>
        </w:rPr>
      </w:pPr>
      <w:r>
        <w:rPr>
          <w:rFonts w:hint="default" w:ascii="Times New Roman" w:hAnsi="Times New Roman" w:eastAsia="仿宋_GB2312" w:cs="Times New Roman"/>
          <w:lang w:eastAsia="en-US"/>
        </w:rPr>
        <w:t>本报告由</w:t>
      </w:r>
      <w:r>
        <w:rPr>
          <w:rFonts w:hint="eastAsia" w:eastAsia="仿宋_GB2312" w:cs="Times New Roman"/>
          <w:lang w:val="en-US" w:eastAsia="zh-CN"/>
        </w:rPr>
        <w:t>安徽汉马发动机有限公司</w:t>
      </w:r>
      <w:r>
        <w:rPr>
          <w:rFonts w:hint="default" w:ascii="Times New Roman" w:hAnsi="Times New Roman" w:eastAsia="仿宋_GB2312" w:cs="Times New Roman"/>
          <w:lang w:eastAsia="en-US"/>
        </w:rPr>
        <w:t>委托合肥碳助手环境科技有限公司编写。报告基于国际和行业通用的ISO14040、ISO14044、ISO14064标准，报告中的信息和数据由</w:t>
      </w:r>
      <w:r>
        <w:rPr>
          <w:rFonts w:hint="eastAsia" w:eastAsia="仿宋_GB2312" w:cs="Times New Roman"/>
          <w:lang w:eastAsia="zh-CN"/>
        </w:rPr>
        <w:t>安徽汉马发动机有限公司</w:t>
      </w:r>
      <w:r>
        <w:rPr>
          <w:rFonts w:hint="default" w:ascii="Times New Roman" w:hAnsi="Times New Roman" w:eastAsia="仿宋_GB2312" w:cs="Times New Roman"/>
          <w:lang w:eastAsia="en-US"/>
        </w:rPr>
        <w:t>及其供应商所提供，力求但并不能保证该信息的准确性和完整性，客户也不应该认为报告结果和结论适用于各种情况。未经书面许可授权，任何机构和个人不得以任何形式刊发或转载本报告。此外，授权的刊发和转载，需注明出处，且不得对本报告进行任何有悖原意的引用、删节和修改。</w:t>
      </w:r>
    </w:p>
    <w:p w14:paraId="1C90750B">
      <w:pPr>
        <w:bidi w:val="0"/>
        <w:rPr>
          <w:lang w:eastAsia="en-US"/>
        </w:rPr>
        <w:sectPr>
          <w:pgSz w:w="11906" w:h="16839"/>
          <w:pgMar w:top="1431" w:right="1758" w:bottom="0" w:left="1785" w:header="0" w:footer="0" w:gutter="0"/>
          <w:pgBorders>
            <w:top w:val="none" w:sz="0" w:space="0"/>
            <w:left w:val="none" w:sz="0" w:space="0"/>
            <w:bottom w:val="none" w:sz="0" w:space="0"/>
            <w:right w:val="none" w:sz="0" w:space="0"/>
          </w:pgBorders>
          <w:cols w:space="720" w:num="1"/>
        </w:sectPr>
      </w:pPr>
    </w:p>
    <w:p w14:paraId="57C37CA5">
      <w:pPr>
        <w:bidi w:val="0"/>
        <w:ind w:left="0" w:leftChars="0" w:firstLine="0" w:firstLineChars="0"/>
        <w:jc w:val="center"/>
        <w:rPr>
          <w:rFonts w:hint="eastAsia" w:ascii="黑体" w:hAnsi="黑体" w:eastAsia="黑体" w:cs="黑体"/>
          <w:sz w:val="44"/>
          <w:szCs w:val="44"/>
          <w:lang w:val="en-US" w:eastAsia="zh-CN"/>
        </w:rPr>
      </w:pPr>
      <w:r>
        <w:rPr>
          <w:rFonts w:hint="eastAsia" w:ascii="黑体" w:hAnsi="黑体" w:eastAsia="黑体" w:cs="黑体"/>
          <w:sz w:val="44"/>
          <w:szCs w:val="44"/>
          <w:lang w:val="en-US" w:eastAsia="zh-CN"/>
        </w:rPr>
        <w:t>摘  要</w:t>
      </w:r>
    </w:p>
    <w:p w14:paraId="5D61BB11">
      <w:pPr>
        <w:bidi w:val="0"/>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本报告采用ISO14067提及的生命周期核算方法，针对公司</w:t>
      </w:r>
      <w:r>
        <w:rPr>
          <w:rFonts w:hint="eastAsia" w:eastAsia="仿宋_GB2312" w:cs="Times New Roman"/>
          <w:lang w:val="en-US" w:eastAsia="zh-CN"/>
        </w:rPr>
        <w:t>甲醇系列发动机</w:t>
      </w:r>
      <w:r>
        <w:rPr>
          <w:rFonts w:hint="default" w:ascii="Times New Roman" w:hAnsi="Times New Roman" w:eastAsia="仿宋_GB2312" w:cs="Times New Roman"/>
          <w:lang w:val="en-US" w:eastAsia="zh-CN"/>
        </w:rPr>
        <w:t>产品开展产品碳足迹评价与核查报告编制工作。</w:t>
      </w:r>
    </w:p>
    <w:p w14:paraId="629B4CBE">
      <w:pPr>
        <w:bidi w:val="0"/>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为积极响应国家“3060”碳达峰碳中和目标，</w:t>
      </w:r>
      <w:r>
        <w:rPr>
          <w:rFonts w:hint="eastAsia" w:eastAsia="仿宋_GB2312" w:cs="Times New Roman"/>
          <w:lang w:val="en-US" w:eastAsia="zh-CN"/>
        </w:rPr>
        <w:t>安徽汉马发动机有限公司</w:t>
      </w:r>
      <w:r>
        <w:rPr>
          <w:rFonts w:hint="default" w:ascii="Times New Roman" w:hAnsi="Times New Roman" w:eastAsia="仿宋_GB2312" w:cs="Times New Roman"/>
          <w:lang w:val="en-US" w:eastAsia="zh-CN"/>
        </w:rPr>
        <w:t>作为我国</w:t>
      </w:r>
      <w:r>
        <w:rPr>
          <w:rFonts w:hint="eastAsia" w:eastAsia="仿宋_GB2312" w:cs="Times New Roman"/>
          <w:lang w:val="en-US" w:eastAsia="zh-CN"/>
        </w:rPr>
        <w:t>汽车零部件及配件制造</w:t>
      </w:r>
      <w:r>
        <w:rPr>
          <w:rFonts w:hint="default" w:ascii="Times New Roman" w:hAnsi="Times New Roman" w:eastAsia="仿宋_GB2312" w:cs="Times New Roman"/>
          <w:lang w:val="en-US" w:eastAsia="zh-CN"/>
        </w:rPr>
        <w:t>（</w:t>
      </w:r>
      <w:r>
        <w:rPr>
          <w:rFonts w:hint="eastAsia" w:eastAsia="仿宋_GB2312" w:cs="Times New Roman"/>
          <w:lang w:val="en-US" w:eastAsia="zh-CN"/>
        </w:rPr>
        <w:t>C3670</w:t>
      </w:r>
      <w:r>
        <w:rPr>
          <w:rFonts w:hint="default" w:ascii="Times New Roman" w:hAnsi="Times New Roman" w:eastAsia="仿宋_GB2312" w:cs="Times New Roman"/>
          <w:lang w:val="en-US" w:eastAsia="zh-CN"/>
        </w:rPr>
        <w:t>）行业领先企业，根据ISO14067评价</w:t>
      </w:r>
      <w:r>
        <w:rPr>
          <w:rFonts w:hint="eastAsia" w:eastAsia="仿宋_GB2312" w:cs="Times New Roman"/>
          <w:lang w:val="en-US" w:eastAsia="zh-CN"/>
        </w:rPr>
        <w:t>甲醇系列发动机</w:t>
      </w:r>
      <w:r>
        <w:rPr>
          <w:rFonts w:hint="default" w:ascii="Times New Roman" w:hAnsi="Times New Roman" w:eastAsia="仿宋_GB2312" w:cs="Times New Roman"/>
          <w:lang w:val="en-US" w:eastAsia="zh-CN"/>
        </w:rPr>
        <w:t>产品碳足迹，追踪并监控从原材料获取至生产全过程中的环境排放，将有助于下游产品全生命周期的碳足迹统计，能够对重要环节进行针对性减排，以实现整个</w:t>
      </w:r>
      <w:r>
        <w:rPr>
          <w:rFonts w:hint="eastAsia" w:eastAsia="仿宋_GB2312" w:cs="Times New Roman"/>
          <w:lang w:val="en-US" w:eastAsia="zh-CN"/>
        </w:rPr>
        <w:t>汽车零部件及配件制造</w:t>
      </w:r>
      <w:r>
        <w:rPr>
          <w:rFonts w:hint="default" w:ascii="Times New Roman" w:hAnsi="Times New Roman" w:eastAsia="仿宋_GB2312" w:cs="Times New Roman"/>
          <w:lang w:val="en-US" w:eastAsia="zh-CN"/>
        </w:rPr>
        <w:t>行业的节能减排，为低碳环保做出贡献。</w:t>
      </w:r>
    </w:p>
    <w:p w14:paraId="5C1ABED0">
      <w:pPr>
        <w:bidi w:val="0"/>
        <w:rPr>
          <w:rFonts w:hint="eastAsia"/>
          <w:lang w:val="en-US" w:eastAsia="zh-CN"/>
        </w:rPr>
      </w:pPr>
      <w:r>
        <w:rPr>
          <w:rFonts w:hint="default" w:ascii="Times New Roman" w:hAnsi="Times New Roman" w:eastAsia="仿宋_GB2312" w:cs="Times New Roman"/>
          <w:lang w:val="en-US" w:eastAsia="zh-CN"/>
        </w:rPr>
        <w:t>本报告的功能单位定义为：生产</w:t>
      </w:r>
      <w:r>
        <w:rPr>
          <w:rFonts w:hint="eastAsia" w:eastAsia="仿宋_GB2312" w:cs="Times New Roman"/>
          <w:lang w:val="en-US" w:eastAsia="zh-CN"/>
        </w:rPr>
        <w:t>1台甲醇系列发动机</w:t>
      </w:r>
      <w:r>
        <w:rPr>
          <w:rFonts w:hint="default" w:ascii="Times New Roman" w:hAnsi="Times New Roman" w:eastAsia="仿宋_GB2312" w:cs="Times New Roman"/>
          <w:lang w:val="en-US" w:eastAsia="zh-CN"/>
        </w:rPr>
        <w:t>产品。系统边界为</w:t>
      </w:r>
      <w:r>
        <w:rPr>
          <w:rFonts w:hint="eastAsia" w:eastAsia="仿宋_GB2312" w:cs="Times New Roman"/>
          <w:lang w:val="en-US" w:eastAsia="zh-CN"/>
        </w:rPr>
        <w:t>“</w:t>
      </w:r>
      <w:r>
        <w:rPr>
          <w:rFonts w:hint="default" w:ascii="Times New Roman" w:hAnsi="Times New Roman" w:eastAsia="仿宋_GB2312" w:cs="Times New Roman"/>
          <w:lang w:val="en-US" w:eastAsia="zh-CN"/>
        </w:rPr>
        <w:t>从摇篮到大门</w:t>
      </w:r>
      <w:r>
        <w:rPr>
          <w:rFonts w:hint="eastAsia" w:eastAsia="仿宋_GB2312" w:cs="Times New Roman"/>
          <w:lang w:val="en-US" w:eastAsia="zh-CN"/>
        </w:rPr>
        <w:t>”</w:t>
      </w:r>
      <w:r>
        <w:rPr>
          <w:rFonts w:hint="default" w:ascii="Times New Roman" w:hAnsi="Times New Roman" w:eastAsia="仿宋_GB2312" w:cs="Times New Roman"/>
          <w:lang w:val="en-US" w:eastAsia="zh-CN"/>
        </w:rPr>
        <w:t>类型，产品生命周期主要过程活动数据来源于代表企业及供应链实际数据，通过产品生命周期评价软件和数据库工具实现产品的生命周期建模、计算和结果分析，评价结果仅代表</w:t>
      </w:r>
      <w:r>
        <w:rPr>
          <w:rFonts w:hint="eastAsia" w:eastAsia="仿宋_GB2312" w:cs="Times New Roman"/>
          <w:lang w:val="en-US" w:eastAsia="zh-CN"/>
        </w:rPr>
        <w:t>安徽汉马发动机有限公司</w:t>
      </w:r>
      <w:r>
        <w:rPr>
          <w:rFonts w:hint="default" w:ascii="Times New Roman" w:hAnsi="Times New Roman" w:eastAsia="仿宋_GB2312" w:cs="Times New Roman"/>
          <w:lang w:val="en-US" w:eastAsia="zh-CN"/>
        </w:rPr>
        <w:t>使用2024年度实测与统计数据理论核算</w:t>
      </w:r>
      <w:r>
        <w:rPr>
          <w:rFonts w:hint="eastAsia" w:eastAsia="仿宋_GB2312" w:cs="Times New Roman"/>
          <w:lang w:val="en-US" w:eastAsia="zh-CN"/>
        </w:rPr>
        <w:t>1台甲醇系列发动机</w:t>
      </w:r>
      <w:r>
        <w:rPr>
          <w:rFonts w:hint="default" w:ascii="Times New Roman" w:hAnsi="Times New Roman" w:eastAsia="仿宋_GB2312" w:cs="Times New Roman"/>
          <w:lang w:val="en-US" w:eastAsia="zh-CN"/>
        </w:rPr>
        <w:t>从摇篮到大门的碳足迹</w:t>
      </w:r>
      <w:r>
        <w:rPr>
          <w:rFonts w:hint="default" w:ascii="Times New Roman" w:hAnsi="Times New Roman" w:eastAsia="仿宋_GB2312" w:cs="Times New Roman"/>
          <w:highlight w:val="none"/>
          <w:lang w:val="en-US" w:eastAsia="zh-CN"/>
        </w:rPr>
        <w:t>结果，为</w:t>
      </w:r>
      <w:r>
        <w:rPr>
          <w:rFonts w:hint="eastAsia" w:eastAsia="仿宋_GB2312" w:cs="Times New Roman"/>
          <w:color w:val="000000" w:themeColor="text1"/>
          <w:highlight w:val="none"/>
          <w:lang w:val="en-US" w:eastAsia="zh-CN"/>
          <w14:textFill>
            <w14:solidFill>
              <w14:schemeClr w14:val="tx1"/>
            </w14:solidFill>
          </w14:textFill>
        </w:rPr>
        <w:t>3258.75</w:t>
      </w:r>
      <w:r>
        <w:rPr>
          <w:rFonts w:hint="default" w:ascii="Times New Roman" w:hAnsi="Times New Roman" w:eastAsia="仿宋_GB2312" w:cs="Times New Roman"/>
          <w:color w:val="000000" w:themeColor="text1"/>
          <w:highlight w:val="none"/>
          <w:lang w:val="en-US" w:eastAsia="zh-CN"/>
          <w14:textFill>
            <w14:solidFill>
              <w14:schemeClr w14:val="tx1"/>
            </w14:solidFill>
          </w14:textFill>
        </w:rPr>
        <w:t>kgCO</w:t>
      </w:r>
      <w:r>
        <w:rPr>
          <w:rFonts w:hint="default" w:ascii="Times New Roman" w:hAnsi="Times New Roman" w:eastAsia="仿宋_GB2312" w:cs="Times New Roman"/>
          <w:color w:val="000000" w:themeColor="text1"/>
          <w:highlight w:val="none"/>
          <w:vertAlign w:val="subscript"/>
          <w:lang w:val="en-US" w:eastAsia="zh-CN"/>
          <w14:textFill>
            <w14:solidFill>
              <w14:schemeClr w14:val="tx1"/>
            </w14:solidFill>
          </w14:textFill>
        </w:rPr>
        <w:t>2</w:t>
      </w:r>
      <w:r>
        <w:rPr>
          <w:rFonts w:hint="default" w:ascii="Times New Roman" w:hAnsi="Times New Roman" w:eastAsia="仿宋_GB2312" w:cs="Times New Roman"/>
          <w:color w:val="000000" w:themeColor="text1"/>
          <w:highlight w:val="none"/>
          <w:lang w:val="en-US" w:eastAsia="zh-CN"/>
          <w14:textFill>
            <w14:solidFill>
              <w14:schemeClr w14:val="tx1"/>
            </w14:solidFill>
          </w14:textFill>
        </w:rPr>
        <w:t>e</w:t>
      </w:r>
      <w:r>
        <w:rPr>
          <w:rFonts w:hint="default" w:ascii="Times New Roman" w:hAnsi="Times New Roman" w:eastAsia="仿宋_GB2312" w:cs="Times New Roman"/>
          <w:highlight w:val="none"/>
          <w:lang w:val="en-US" w:eastAsia="zh-CN"/>
        </w:rPr>
        <w:t>。</w:t>
      </w:r>
    </w:p>
    <w:p w14:paraId="5BB29E83">
      <w:pPr>
        <w:spacing w:line="407" w:lineRule="auto"/>
        <w:rPr>
          <w:rFonts w:ascii="FangSong_GB2312" w:hAnsi="FangSong_GB2312" w:eastAsia="FangSong_GB2312" w:cs="FangSong_GB2312"/>
          <w:sz w:val="28"/>
          <w:szCs w:val="28"/>
        </w:rPr>
        <w:sectPr>
          <w:pgSz w:w="11906" w:h="16839"/>
          <w:pgMar w:top="1431" w:right="1758" w:bottom="0" w:left="1785" w:header="0" w:footer="0" w:gutter="0"/>
          <w:pgBorders>
            <w:top w:val="none" w:sz="0" w:space="0"/>
            <w:left w:val="none" w:sz="0" w:space="0"/>
            <w:bottom w:val="none" w:sz="0" w:space="0"/>
            <w:right w:val="none" w:sz="0" w:space="0"/>
          </w:pgBorders>
          <w:cols w:space="720" w:num="1"/>
        </w:sectPr>
      </w:pPr>
    </w:p>
    <w:sdt>
      <w:sdtPr>
        <w:rPr>
          <w:rFonts w:hint="eastAsia" w:ascii="黑体" w:hAnsi="黑体" w:eastAsia="黑体" w:cs="黑体"/>
          <w:sz w:val="44"/>
          <w:szCs w:val="44"/>
          <w:lang w:val="en-US" w:eastAsia="zh-CN"/>
        </w:rPr>
        <w:id w:val="147480946"/>
        <w15:color w:val="DBDBDB"/>
        <w:docPartObj>
          <w:docPartGallery w:val="Table of Contents"/>
          <w:docPartUnique/>
        </w:docPartObj>
      </w:sdtPr>
      <w:sdtEndPr>
        <w:rPr>
          <w:rFonts w:hint="eastAsia" w:ascii="Times New Roman" w:hAnsi="Times New Roman" w:eastAsia="宋体" w:cstheme="minorBidi"/>
          <w:kern w:val="2"/>
          <w:sz w:val="28"/>
          <w:szCs w:val="24"/>
          <w:lang w:val="en-US" w:eastAsia="zh-CN" w:bidi="ar-SA"/>
        </w:rPr>
      </w:sdtEndPr>
      <w:sdtContent>
        <w:p w14:paraId="228F5068">
          <w:pPr>
            <w:bidi w:val="0"/>
            <w:ind w:left="0" w:leftChars="0" w:firstLine="0" w:firstLineChars="0"/>
            <w:jc w:val="center"/>
            <w:rPr>
              <w:rFonts w:hint="eastAsia" w:ascii="黑体" w:hAnsi="黑体" w:eastAsia="黑体" w:cs="黑体"/>
              <w:sz w:val="44"/>
              <w:szCs w:val="44"/>
              <w:lang w:val="en-US" w:eastAsia="zh-CN"/>
            </w:rPr>
          </w:pPr>
          <w:r>
            <w:rPr>
              <w:rFonts w:hint="eastAsia" w:ascii="黑体" w:hAnsi="黑体" w:eastAsia="黑体" w:cs="黑体"/>
              <w:sz w:val="44"/>
              <w:szCs w:val="44"/>
              <w:lang w:val="en-US" w:eastAsia="zh-CN"/>
            </w:rPr>
            <w:t>目  录</w:t>
          </w:r>
        </w:p>
        <w:p w14:paraId="59DD8559">
          <w:pPr>
            <w:pStyle w:val="11"/>
            <w:tabs>
              <w:tab w:val="right" w:leader="dot" w:pos="8363"/>
            </w:tabs>
            <w:rPr>
              <w:rFonts w:ascii="Times New Roman" w:hAnsi="Times New Roman" w:eastAsia="仿宋_GB2312"/>
              <w:sz w:val="28"/>
            </w:rPr>
          </w:pPr>
          <w:r>
            <w:rPr>
              <w:rFonts w:hint="eastAsia"/>
              <w:lang w:val="en-US" w:eastAsia="zh-CN"/>
            </w:rPr>
            <w:fldChar w:fldCharType="begin"/>
          </w:r>
          <w:r>
            <w:rPr>
              <w:rFonts w:hint="eastAsia"/>
              <w:lang w:val="en-US" w:eastAsia="zh-CN"/>
            </w:rPr>
            <w:instrText xml:space="preserve">TOC \o "1-2" \h \u </w:instrText>
          </w:r>
          <w:r>
            <w:rPr>
              <w:rFonts w:hint="eastAsia"/>
              <w:lang w:val="en-US" w:eastAsia="zh-CN"/>
            </w:rPr>
            <w:fldChar w:fldCharType="separate"/>
          </w:r>
          <w:r>
            <w:rPr>
              <w:rFonts w:hint="eastAsia" w:ascii="Times New Roman" w:hAnsi="Times New Roman" w:eastAsia="仿宋_GB2312"/>
              <w:sz w:val="28"/>
              <w:lang w:val="en-US" w:eastAsia="zh-CN"/>
            </w:rPr>
            <w:fldChar w:fldCharType="begin"/>
          </w:r>
          <w:r>
            <w:rPr>
              <w:rFonts w:hint="eastAsia" w:ascii="Times New Roman" w:hAnsi="Times New Roman" w:eastAsia="仿宋_GB2312"/>
              <w:sz w:val="28"/>
              <w:lang w:val="en-US" w:eastAsia="zh-CN"/>
            </w:rPr>
            <w:instrText xml:space="preserve"> HYPERLINK \l _Toc1484 </w:instrText>
          </w:r>
          <w:r>
            <w:rPr>
              <w:rFonts w:hint="eastAsia" w:ascii="Times New Roman" w:hAnsi="Times New Roman" w:eastAsia="仿宋_GB2312"/>
              <w:sz w:val="28"/>
              <w:lang w:val="en-US" w:eastAsia="zh-CN"/>
            </w:rPr>
            <w:fldChar w:fldCharType="separate"/>
          </w:r>
          <w:r>
            <w:rPr>
              <w:rFonts w:hint="default" w:ascii="Times New Roman" w:hAnsi="Times New Roman" w:eastAsia="仿宋_GB2312"/>
              <w:sz w:val="28"/>
              <w:lang w:val="en-US" w:eastAsia="zh-CN"/>
            </w:rPr>
            <w:t>1产品碳足迹（PCE）介绍</w:t>
          </w:r>
          <w:r>
            <w:rPr>
              <w:rFonts w:ascii="Times New Roman" w:hAnsi="Times New Roman" w:eastAsia="仿宋_GB2312"/>
              <w:sz w:val="28"/>
            </w:rPr>
            <w:tab/>
          </w:r>
          <w:r>
            <w:rPr>
              <w:rFonts w:ascii="Times New Roman" w:hAnsi="Times New Roman" w:eastAsia="仿宋_GB2312"/>
              <w:sz w:val="28"/>
            </w:rPr>
            <w:fldChar w:fldCharType="begin"/>
          </w:r>
          <w:r>
            <w:rPr>
              <w:rFonts w:ascii="Times New Roman" w:hAnsi="Times New Roman" w:eastAsia="仿宋_GB2312"/>
              <w:sz w:val="28"/>
            </w:rPr>
            <w:instrText xml:space="preserve"> PAGEREF _Toc1484 \h </w:instrText>
          </w:r>
          <w:r>
            <w:rPr>
              <w:rFonts w:ascii="Times New Roman" w:hAnsi="Times New Roman" w:eastAsia="仿宋_GB2312"/>
              <w:sz w:val="28"/>
            </w:rPr>
            <w:fldChar w:fldCharType="separate"/>
          </w:r>
          <w:r>
            <w:rPr>
              <w:rFonts w:ascii="Times New Roman" w:hAnsi="Times New Roman" w:eastAsia="仿宋_GB2312"/>
              <w:sz w:val="28"/>
            </w:rPr>
            <w:t>1</w:t>
          </w:r>
          <w:r>
            <w:rPr>
              <w:rFonts w:ascii="Times New Roman" w:hAnsi="Times New Roman" w:eastAsia="仿宋_GB2312"/>
              <w:sz w:val="28"/>
            </w:rPr>
            <w:fldChar w:fldCharType="end"/>
          </w:r>
          <w:r>
            <w:rPr>
              <w:rFonts w:hint="eastAsia" w:ascii="Times New Roman" w:hAnsi="Times New Roman" w:eastAsia="仿宋_GB2312"/>
              <w:sz w:val="28"/>
              <w:lang w:val="en-US" w:eastAsia="zh-CN"/>
            </w:rPr>
            <w:fldChar w:fldCharType="end"/>
          </w:r>
        </w:p>
        <w:p w14:paraId="6A6AC693">
          <w:pPr>
            <w:pStyle w:val="11"/>
            <w:tabs>
              <w:tab w:val="right" w:leader="dot" w:pos="8363"/>
            </w:tabs>
            <w:rPr>
              <w:rFonts w:ascii="Times New Roman" w:hAnsi="Times New Roman" w:eastAsia="仿宋_GB2312"/>
              <w:sz w:val="28"/>
            </w:rPr>
          </w:pPr>
          <w:r>
            <w:rPr>
              <w:rFonts w:hint="eastAsia" w:ascii="Times New Roman" w:hAnsi="Times New Roman" w:eastAsia="仿宋_GB2312"/>
              <w:sz w:val="28"/>
              <w:lang w:val="en-US" w:eastAsia="zh-CN"/>
            </w:rPr>
            <w:fldChar w:fldCharType="begin"/>
          </w:r>
          <w:r>
            <w:rPr>
              <w:rFonts w:hint="eastAsia" w:ascii="Times New Roman" w:hAnsi="Times New Roman" w:eastAsia="仿宋_GB2312"/>
              <w:sz w:val="28"/>
              <w:lang w:val="en-US" w:eastAsia="zh-CN"/>
            </w:rPr>
            <w:instrText xml:space="preserve"> HYPERLINK \l _Toc3306 </w:instrText>
          </w:r>
          <w:r>
            <w:rPr>
              <w:rFonts w:hint="eastAsia" w:ascii="Times New Roman" w:hAnsi="Times New Roman" w:eastAsia="仿宋_GB2312"/>
              <w:sz w:val="28"/>
              <w:lang w:val="en-US" w:eastAsia="zh-CN"/>
            </w:rPr>
            <w:fldChar w:fldCharType="separate"/>
          </w:r>
          <w:r>
            <w:rPr>
              <w:rFonts w:hint="default" w:ascii="Times New Roman" w:hAnsi="Times New Roman" w:eastAsia="仿宋_GB2312"/>
              <w:sz w:val="28"/>
              <w:lang w:val="en-US" w:eastAsia="zh-CN"/>
            </w:rPr>
            <w:t>2目标与范围定义</w:t>
          </w:r>
          <w:r>
            <w:rPr>
              <w:rFonts w:ascii="Times New Roman" w:hAnsi="Times New Roman" w:eastAsia="仿宋_GB2312"/>
              <w:sz w:val="28"/>
            </w:rPr>
            <w:tab/>
          </w:r>
          <w:r>
            <w:rPr>
              <w:rFonts w:ascii="Times New Roman" w:hAnsi="Times New Roman" w:eastAsia="仿宋_GB2312"/>
              <w:sz w:val="28"/>
            </w:rPr>
            <w:fldChar w:fldCharType="begin"/>
          </w:r>
          <w:r>
            <w:rPr>
              <w:rFonts w:ascii="Times New Roman" w:hAnsi="Times New Roman" w:eastAsia="仿宋_GB2312"/>
              <w:sz w:val="28"/>
            </w:rPr>
            <w:instrText xml:space="preserve"> PAGEREF _Toc3306 \h </w:instrText>
          </w:r>
          <w:r>
            <w:rPr>
              <w:rFonts w:ascii="Times New Roman" w:hAnsi="Times New Roman" w:eastAsia="仿宋_GB2312"/>
              <w:sz w:val="28"/>
            </w:rPr>
            <w:fldChar w:fldCharType="separate"/>
          </w:r>
          <w:r>
            <w:rPr>
              <w:rFonts w:ascii="Times New Roman" w:hAnsi="Times New Roman" w:eastAsia="仿宋_GB2312"/>
              <w:sz w:val="28"/>
            </w:rPr>
            <w:t>3</w:t>
          </w:r>
          <w:r>
            <w:rPr>
              <w:rFonts w:ascii="Times New Roman" w:hAnsi="Times New Roman" w:eastAsia="仿宋_GB2312"/>
              <w:sz w:val="28"/>
            </w:rPr>
            <w:fldChar w:fldCharType="end"/>
          </w:r>
          <w:r>
            <w:rPr>
              <w:rFonts w:hint="eastAsia" w:ascii="Times New Roman" w:hAnsi="Times New Roman" w:eastAsia="仿宋_GB2312"/>
              <w:sz w:val="28"/>
              <w:lang w:val="en-US" w:eastAsia="zh-CN"/>
            </w:rPr>
            <w:fldChar w:fldCharType="end"/>
          </w:r>
        </w:p>
        <w:p w14:paraId="2F1EC58F">
          <w:pPr>
            <w:pStyle w:val="12"/>
            <w:tabs>
              <w:tab w:val="right" w:leader="dot" w:pos="8363"/>
            </w:tabs>
            <w:rPr>
              <w:rFonts w:ascii="Times New Roman" w:hAnsi="Times New Roman" w:eastAsia="仿宋_GB2312"/>
              <w:sz w:val="28"/>
            </w:rPr>
          </w:pPr>
          <w:r>
            <w:rPr>
              <w:rFonts w:hint="eastAsia" w:ascii="Times New Roman" w:hAnsi="Times New Roman" w:eastAsia="仿宋_GB2312"/>
              <w:sz w:val="28"/>
              <w:lang w:val="en-US" w:eastAsia="zh-CN"/>
            </w:rPr>
            <w:fldChar w:fldCharType="begin"/>
          </w:r>
          <w:r>
            <w:rPr>
              <w:rFonts w:hint="eastAsia" w:ascii="Times New Roman" w:hAnsi="Times New Roman" w:eastAsia="仿宋_GB2312"/>
              <w:sz w:val="28"/>
              <w:lang w:val="en-US" w:eastAsia="zh-CN"/>
            </w:rPr>
            <w:instrText xml:space="preserve"> HYPERLINK \l _Toc22444 </w:instrText>
          </w:r>
          <w:r>
            <w:rPr>
              <w:rFonts w:hint="eastAsia" w:ascii="Times New Roman" w:hAnsi="Times New Roman" w:eastAsia="仿宋_GB2312"/>
              <w:sz w:val="28"/>
              <w:lang w:val="en-US" w:eastAsia="zh-CN"/>
            </w:rPr>
            <w:fldChar w:fldCharType="separate"/>
          </w:r>
          <w:r>
            <w:rPr>
              <w:rFonts w:hint="default" w:ascii="Times New Roman" w:hAnsi="Times New Roman" w:eastAsia="仿宋_GB2312"/>
              <w:sz w:val="28"/>
              <w:lang w:val="en-US" w:eastAsia="zh-CN"/>
            </w:rPr>
            <w:t>2.1企业及其产品介绍</w:t>
          </w:r>
          <w:r>
            <w:rPr>
              <w:rFonts w:ascii="Times New Roman" w:hAnsi="Times New Roman" w:eastAsia="仿宋_GB2312"/>
              <w:sz w:val="28"/>
            </w:rPr>
            <w:tab/>
          </w:r>
          <w:r>
            <w:rPr>
              <w:rFonts w:ascii="Times New Roman" w:hAnsi="Times New Roman" w:eastAsia="仿宋_GB2312"/>
              <w:sz w:val="28"/>
            </w:rPr>
            <w:fldChar w:fldCharType="begin"/>
          </w:r>
          <w:r>
            <w:rPr>
              <w:rFonts w:ascii="Times New Roman" w:hAnsi="Times New Roman" w:eastAsia="仿宋_GB2312"/>
              <w:sz w:val="28"/>
            </w:rPr>
            <w:instrText xml:space="preserve"> PAGEREF _Toc22444 \h </w:instrText>
          </w:r>
          <w:r>
            <w:rPr>
              <w:rFonts w:ascii="Times New Roman" w:hAnsi="Times New Roman" w:eastAsia="仿宋_GB2312"/>
              <w:sz w:val="28"/>
            </w:rPr>
            <w:fldChar w:fldCharType="separate"/>
          </w:r>
          <w:r>
            <w:rPr>
              <w:rFonts w:ascii="Times New Roman" w:hAnsi="Times New Roman" w:eastAsia="仿宋_GB2312"/>
              <w:sz w:val="28"/>
            </w:rPr>
            <w:t>3</w:t>
          </w:r>
          <w:r>
            <w:rPr>
              <w:rFonts w:ascii="Times New Roman" w:hAnsi="Times New Roman" w:eastAsia="仿宋_GB2312"/>
              <w:sz w:val="28"/>
            </w:rPr>
            <w:fldChar w:fldCharType="end"/>
          </w:r>
          <w:r>
            <w:rPr>
              <w:rFonts w:hint="eastAsia" w:ascii="Times New Roman" w:hAnsi="Times New Roman" w:eastAsia="仿宋_GB2312"/>
              <w:sz w:val="28"/>
              <w:lang w:val="en-US" w:eastAsia="zh-CN"/>
            </w:rPr>
            <w:fldChar w:fldCharType="end"/>
          </w:r>
        </w:p>
        <w:p w14:paraId="7748D44E">
          <w:pPr>
            <w:pStyle w:val="12"/>
            <w:tabs>
              <w:tab w:val="right" w:leader="dot" w:pos="8363"/>
            </w:tabs>
            <w:rPr>
              <w:rFonts w:ascii="Times New Roman" w:hAnsi="Times New Roman" w:eastAsia="仿宋_GB2312"/>
              <w:sz w:val="28"/>
            </w:rPr>
          </w:pPr>
          <w:r>
            <w:rPr>
              <w:rFonts w:hint="eastAsia" w:ascii="Times New Roman" w:hAnsi="Times New Roman" w:eastAsia="仿宋_GB2312"/>
              <w:sz w:val="28"/>
              <w:lang w:val="en-US" w:eastAsia="zh-CN"/>
            </w:rPr>
            <w:fldChar w:fldCharType="begin"/>
          </w:r>
          <w:r>
            <w:rPr>
              <w:rFonts w:hint="eastAsia" w:ascii="Times New Roman" w:hAnsi="Times New Roman" w:eastAsia="仿宋_GB2312"/>
              <w:sz w:val="28"/>
              <w:lang w:val="en-US" w:eastAsia="zh-CN"/>
            </w:rPr>
            <w:instrText xml:space="preserve"> HYPERLINK \l _Toc6149 </w:instrText>
          </w:r>
          <w:r>
            <w:rPr>
              <w:rFonts w:hint="eastAsia" w:ascii="Times New Roman" w:hAnsi="Times New Roman" w:eastAsia="仿宋_GB2312"/>
              <w:sz w:val="28"/>
              <w:lang w:val="en-US" w:eastAsia="zh-CN"/>
            </w:rPr>
            <w:fldChar w:fldCharType="separate"/>
          </w:r>
          <w:r>
            <w:rPr>
              <w:rFonts w:hint="default" w:ascii="Times New Roman" w:hAnsi="Times New Roman" w:eastAsia="仿宋_GB2312"/>
              <w:sz w:val="28"/>
              <w:lang w:val="en-US" w:eastAsia="zh-CN"/>
            </w:rPr>
            <w:t>2.2研究目的</w:t>
          </w:r>
          <w:r>
            <w:rPr>
              <w:rFonts w:ascii="Times New Roman" w:hAnsi="Times New Roman" w:eastAsia="仿宋_GB2312"/>
              <w:sz w:val="28"/>
            </w:rPr>
            <w:tab/>
          </w:r>
          <w:r>
            <w:rPr>
              <w:rFonts w:ascii="Times New Roman" w:hAnsi="Times New Roman" w:eastAsia="仿宋_GB2312"/>
              <w:sz w:val="28"/>
            </w:rPr>
            <w:fldChar w:fldCharType="begin"/>
          </w:r>
          <w:r>
            <w:rPr>
              <w:rFonts w:ascii="Times New Roman" w:hAnsi="Times New Roman" w:eastAsia="仿宋_GB2312"/>
              <w:sz w:val="28"/>
            </w:rPr>
            <w:instrText xml:space="preserve"> PAGEREF _Toc6149 \h </w:instrText>
          </w:r>
          <w:r>
            <w:rPr>
              <w:rFonts w:ascii="Times New Roman" w:hAnsi="Times New Roman" w:eastAsia="仿宋_GB2312"/>
              <w:sz w:val="28"/>
            </w:rPr>
            <w:fldChar w:fldCharType="separate"/>
          </w:r>
          <w:r>
            <w:rPr>
              <w:rFonts w:ascii="Times New Roman" w:hAnsi="Times New Roman" w:eastAsia="仿宋_GB2312"/>
              <w:sz w:val="28"/>
            </w:rPr>
            <w:t>3</w:t>
          </w:r>
          <w:r>
            <w:rPr>
              <w:rFonts w:ascii="Times New Roman" w:hAnsi="Times New Roman" w:eastAsia="仿宋_GB2312"/>
              <w:sz w:val="28"/>
            </w:rPr>
            <w:fldChar w:fldCharType="end"/>
          </w:r>
          <w:r>
            <w:rPr>
              <w:rFonts w:hint="eastAsia" w:ascii="Times New Roman" w:hAnsi="Times New Roman" w:eastAsia="仿宋_GB2312"/>
              <w:sz w:val="28"/>
              <w:lang w:val="en-US" w:eastAsia="zh-CN"/>
            </w:rPr>
            <w:fldChar w:fldCharType="end"/>
          </w:r>
        </w:p>
        <w:p w14:paraId="4EA6D916">
          <w:pPr>
            <w:pStyle w:val="12"/>
            <w:tabs>
              <w:tab w:val="right" w:leader="dot" w:pos="8363"/>
            </w:tabs>
            <w:rPr>
              <w:rFonts w:ascii="Times New Roman" w:hAnsi="Times New Roman" w:eastAsia="仿宋_GB2312"/>
              <w:sz w:val="28"/>
            </w:rPr>
          </w:pPr>
          <w:r>
            <w:rPr>
              <w:rFonts w:hint="eastAsia" w:ascii="Times New Roman" w:hAnsi="Times New Roman" w:eastAsia="仿宋_GB2312"/>
              <w:sz w:val="28"/>
              <w:lang w:val="en-US" w:eastAsia="zh-CN"/>
            </w:rPr>
            <w:fldChar w:fldCharType="begin"/>
          </w:r>
          <w:r>
            <w:rPr>
              <w:rFonts w:hint="eastAsia" w:ascii="Times New Roman" w:hAnsi="Times New Roman" w:eastAsia="仿宋_GB2312"/>
              <w:sz w:val="28"/>
              <w:lang w:val="en-US" w:eastAsia="zh-CN"/>
            </w:rPr>
            <w:instrText xml:space="preserve"> HYPERLINK \l _Toc29265 </w:instrText>
          </w:r>
          <w:r>
            <w:rPr>
              <w:rFonts w:hint="eastAsia" w:ascii="Times New Roman" w:hAnsi="Times New Roman" w:eastAsia="仿宋_GB2312"/>
              <w:sz w:val="28"/>
              <w:lang w:val="en-US" w:eastAsia="zh-CN"/>
            </w:rPr>
            <w:fldChar w:fldCharType="separate"/>
          </w:r>
          <w:r>
            <w:rPr>
              <w:rFonts w:hint="default" w:ascii="Times New Roman" w:hAnsi="Times New Roman" w:eastAsia="仿宋_GB2312"/>
              <w:sz w:val="28"/>
              <w:lang w:val="en-US" w:eastAsia="zh-CN"/>
            </w:rPr>
            <w:t>2.3功能单位与基准流</w:t>
          </w:r>
          <w:r>
            <w:rPr>
              <w:rFonts w:ascii="Times New Roman" w:hAnsi="Times New Roman" w:eastAsia="仿宋_GB2312"/>
              <w:sz w:val="28"/>
            </w:rPr>
            <w:tab/>
          </w:r>
          <w:r>
            <w:rPr>
              <w:rFonts w:ascii="Times New Roman" w:hAnsi="Times New Roman" w:eastAsia="仿宋_GB2312"/>
              <w:sz w:val="28"/>
            </w:rPr>
            <w:fldChar w:fldCharType="begin"/>
          </w:r>
          <w:r>
            <w:rPr>
              <w:rFonts w:ascii="Times New Roman" w:hAnsi="Times New Roman" w:eastAsia="仿宋_GB2312"/>
              <w:sz w:val="28"/>
            </w:rPr>
            <w:instrText xml:space="preserve"> PAGEREF _Toc29265 \h </w:instrText>
          </w:r>
          <w:r>
            <w:rPr>
              <w:rFonts w:ascii="Times New Roman" w:hAnsi="Times New Roman" w:eastAsia="仿宋_GB2312"/>
              <w:sz w:val="28"/>
            </w:rPr>
            <w:fldChar w:fldCharType="separate"/>
          </w:r>
          <w:r>
            <w:rPr>
              <w:rFonts w:ascii="Times New Roman" w:hAnsi="Times New Roman" w:eastAsia="仿宋_GB2312"/>
              <w:sz w:val="28"/>
            </w:rPr>
            <w:t>4</w:t>
          </w:r>
          <w:r>
            <w:rPr>
              <w:rFonts w:ascii="Times New Roman" w:hAnsi="Times New Roman" w:eastAsia="仿宋_GB2312"/>
              <w:sz w:val="28"/>
            </w:rPr>
            <w:fldChar w:fldCharType="end"/>
          </w:r>
          <w:r>
            <w:rPr>
              <w:rFonts w:hint="eastAsia" w:ascii="Times New Roman" w:hAnsi="Times New Roman" w:eastAsia="仿宋_GB2312"/>
              <w:sz w:val="28"/>
              <w:lang w:val="en-US" w:eastAsia="zh-CN"/>
            </w:rPr>
            <w:fldChar w:fldCharType="end"/>
          </w:r>
        </w:p>
        <w:p w14:paraId="5ADAB927">
          <w:pPr>
            <w:pStyle w:val="12"/>
            <w:tabs>
              <w:tab w:val="right" w:leader="dot" w:pos="8363"/>
            </w:tabs>
            <w:rPr>
              <w:rFonts w:ascii="Times New Roman" w:hAnsi="Times New Roman" w:eastAsia="仿宋_GB2312"/>
              <w:sz w:val="28"/>
            </w:rPr>
          </w:pPr>
          <w:r>
            <w:rPr>
              <w:rFonts w:hint="eastAsia" w:ascii="Times New Roman" w:hAnsi="Times New Roman" w:eastAsia="仿宋_GB2312"/>
              <w:sz w:val="28"/>
              <w:lang w:val="en-US" w:eastAsia="zh-CN"/>
            </w:rPr>
            <w:fldChar w:fldCharType="begin"/>
          </w:r>
          <w:r>
            <w:rPr>
              <w:rFonts w:hint="eastAsia" w:ascii="Times New Roman" w:hAnsi="Times New Roman" w:eastAsia="仿宋_GB2312"/>
              <w:sz w:val="28"/>
              <w:lang w:val="en-US" w:eastAsia="zh-CN"/>
            </w:rPr>
            <w:instrText xml:space="preserve"> HYPERLINK \l _Toc22997 </w:instrText>
          </w:r>
          <w:r>
            <w:rPr>
              <w:rFonts w:hint="eastAsia" w:ascii="Times New Roman" w:hAnsi="Times New Roman" w:eastAsia="仿宋_GB2312"/>
              <w:sz w:val="28"/>
              <w:lang w:val="en-US" w:eastAsia="zh-CN"/>
            </w:rPr>
            <w:fldChar w:fldCharType="separate"/>
          </w:r>
          <w:r>
            <w:rPr>
              <w:rFonts w:hint="default" w:ascii="Times New Roman" w:hAnsi="Times New Roman" w:eastAsia="仿宋_GB2312"/>
              <w:sz w:val="28"/>
              <w:lang w:val="en-US" w:eastAsia="zh-CN"/>
            </w:rPr>
            <w:t>2.4碳足迹范围描述</w:t>
          </w:r>
          <w:r>
            <w:rPr>
              <w:rFonts w:ascii="Times New Roman" w:hAnsi="Times New Roman" w:eastAsia="仿宋_GB2312"/>
              <w:sz w:val="28"/>
            </w:rPr>
            <w:tab/>
          </w:r>
          <w:r>
            <w:rPr>
              <w:rFonts w:ascii="Times New Roman" w:hAnsi="Times New Roman" w:eastAsia="仿宋_GB2312"/>
              <w:sz w:val="28"/>
            </w:rPr>
            <w:fldChar w:fldCharType="begin"/>
          </w:r>
          <w:r>
            <w:rPr>
              <w:rFonts w:ascii="Times New Roman" w:hAnsi="Times New Roman" w:eastAsia="仿宋_GB2312"/>
              <w:sz w:val="28"/>
            </w:rPr>
            <w:instrText xml:space="preserve"> PAGEREF _Toc22997 \h </w:instrText>
          </w:r>
          <w:r>
            <w:rPr>
              <w:rFonts w:ascii="Times New Roman" w:hAnsi="Times New Roman" w:eastAsia="仿宋_GB2312"/>
              <w:sz w:val="28"/>
            </w:rPr>
            <w:fldChar w:fldCharType="separate"/>
          </w:r>
          <w:r>
            <w:rPr>
              <w:rFonts w:ascii="Times New Roman" w:hAnsi="Times New Roman" w:eastAsia="仿宋_GB2312"/>
              <w:sz w:val="28"/>
            </w:rPr>
            <w:t>4</w:t>
          </w:r>
          <w:r>
            <w:rPr>
              <w:rFonts w:ascii="Times New Roman" w:hAnsi="Times New Roman" w:eastAsia="仿宋_GB2312"/>
              <w:sz w:val="28"/>
            </w:rPr>
            <w:fldChar w:fldCharType="end"/>
          </w:r>
          <w:r>
            <w:rPr>
              <w:rFonts w:hint="eastAsia" w:ascii="Times New Roman" w:hAnsi="Times New Roman" w:eastAsia="仿宋_GB2312"/>
              <w:sz w:val="28"/>
              <w:lang w:val="en-US" w:eastAsia="zh-CN"/>
            </w:rPr>
            <w:fldChar w:fldCharType="end"/>
          </w:r>
        </w:p>
        <w:p w14:paraId="26418A3A">
          <w:pPr>
            <w:pStyle w:val="12"/>
            <w:tabs>
              <w:tab w:val="right" w:leader="dot" w:pos="8363"/>
            </w:tabs>
            <w:rPr>
              <w:rFonts w:ascii="Times New Roman" w:hAnsi="Times New Roman" w:eastAsia="仿宋_GB2312"/>
              <w:sz w:val="28"/>
            </w:rPr>
          </w:pPr>
          <w:r>
            <w:rPr>
              <w:rFonts w:hint="eastAsia" w:ascii="Times New Roman" w:hAnsi="Times New Roman" w:eastAsia="仿宋_GB2312"/>
              <w:sz w:val="28"/>
              <w:lang w:val="en-US" w:eastAsia="zh-CN"/>
            </w:rPr>
            <w:fldChar w:fldCharType="begin"/>
          </w:r>
          <w:r>
            <w:rPr>
              <w:rFonts w:hint="eastAsia" w:ascii="Times New Roman" w:hAnsi="Times New Roman" w:eastAsia="仿宋_GB2312"/>
              <w:sz w:val="28"/>
              <w:lang w:val="en-US" w:eastAsia="zh-CN"/>
            </w:rPr>
            <w:instrText xml:space="preserve"> HYPERLINK \l _Toc9917 </w:instrText>
          </w:r>
          <w:r>
            <w:rPr>
              <w:rFonts w:hint="eastAsia" w:ascii="Times New Roman" w:hAnsi="Times New Roman" w:eastAsia="仿宋_GB2312"/>
              <w:sz w:val="28"/>
              <w:lang w:val="en-US" w:eastAsia="zh-CN"/>
            </w:rPr>
            <w:fldChar w:fldCharType="separate"/>
          </w:r>
          <w:r>
            <w:rPr>
              <w:rFonts w:hint="default" w:ascii="Times New Roman" w:hAnsi="Times New Roman" w:eastAsia="仿宋_GB2312"/>
              <w:sz w:val="28"/>
              <w:lang w:val="en-US" w:eastAsia="zh-CN"/>
            </w:rPr>
            <w:t>2.5系统边界</w:t>
          </w:r>
          <w:r>
            <w:rPr>
              <w:rFonts w:ascii="Times New Roman" w:hAnsi="Times New Roman" w:eastAsia="仿宋_GB2312"/>
              <w:sz w:val="28"/>
            </w:rPr>
            <w:tab/>
          </w:r>
          <w:r>
            <w:rPr>
              <w:rFonts w:ascii="Times New Roman" w:hAnsi="Times New Roman" w:eastAsia="仿宋_GB2312"/>
              <w:sz w:val="28"/>
            </w:rPr>
            <w:fldChar w:fldCharType="begin"/>
          </w:r>
          <w:r>
            <w:rPr>
              <w:rFonts w:ascii="Times New Roman" w:hAnsi="Times New Roman" w:eastAsia="仿宋_GB2312"/>
              <w:sz w:val="28"/>
            </w:rPr>
            <w:instrText xml:space="preserve"> PAGEREF _Toc9917 \h </w:instrText>
          </w:r>
          <w:r>
            <w:rPr>
              <w:rFonts w:ascii="Times New Roman" w:hAnsi="Times New Roman" w:eastAsia="仿宋_GB2312"/>
              <w:sz w:val="28"/>
            </w:rPr>
            <w:fldChar w:fldCharType="separate"/>
          </w:r>
          <w:r>
            <w:rPr>
              <w:rFonts w:ascii="Times New Roman" w:hAnsi="Times New Roman" w:eastAsia="仿宋_GB2312"/>
              <w:sz w:val="28"/>
            </w:rPr>
            <w:t>4</w:t>
          </w:r>
          <w:r>
            <w:rPr>
              <w:rFonts w:ascii="Times New Roman" w:hAnsi="Times New Roman" w:eastAsia="仿宋_GB2312"/>
              <w:sz w:val="28"/>
            </w:rPr>
            <w:fldChar w:fldCharType="end"/>
          </w:r>
          <w:r>
            <w:rPr>
              <w:rFonts w:hint="eastAsia" w:ascii="Times New Roman" w:hAnsi="Times New Roman" w:eastAsia="仿宋_GB2312"/>
              <w:sz w:val="28"/>
              <w:lang w:val="en-US" w:eastAsia="zh-CN"/>
            </w:rPr>
            <w:fldChar w:fldCharType="end"/>
          </w:r>
        </w:p>
        <w:p w14:paraId="271430C6">
          <w:pPr>
            <w:pStyle w:val="12"/>
            <w:tabs>
              <w:tab w:val="right" w:leader="dot" w:pos="8363"/>
            </w:tabs>
            <w:rPr>
              <w:rFonts w:ascii="Times New Roman" w:hAnsi="Times New Roman" w:eastAsia="仿宋_GB2312"/>
              <w:sz w:val="28"/>
            </w:rPr>
          </w:pPr>
          <w:r>
            <w:rPr>
              <w:rFonts w:hint="eastAsia" w:ascii="Times New Roman" w:hAnsi="Times New Roman" w:eastAsia="仿宋_GB2312"/>
              <w:sz w:val="28"/>
              <w:lang w:val="en-US" w:eastAsia="zh-CN"/>
            </w:rPr>
            <w:fldChar w:fldCharType="begin"/>
          </w:r>
          <w:r>
            <w:rPr>
              <w:rFonts w:hint="eastAsia" w:ascii="Times New Roman" w:hAnsi="Times New Roman" w:eastAsia="仿宋_GB2312"/>
              <w:sz w:val="28"/>
              <w:lang w:val="en-US" w:eastAsia="zh-CN"/>
            </w:rPr>
            <w:instrText xml:space="preserve"> HYPERLINK \l _Toc16798 </w:instrText>
          </w:r>
          <w:r>
            <w:rPr>
              <w:rFonts w:hint="eastAsia" w:ascii="Times New Roman" w:hAnsi="Times New Roman" w:eastAsia="仿宋_GB2312"/>
              <w:sz w:val="28"/>
              <w:lang w:val="en-US" w:eastAsia="zh-CN"/>
            </w:rPr>
            <w:fldChar w:fldCharType="separate"/>
          </w:r>
          <w:r>
            <w:rPr>
              <w:rFonts w:hint="default" w:ascii="Times New Roman" w:hAnsi="Times New Roman" w:eastAsia="仿宋_GB2312"/>
              <w:sz w:val="28"/>
              <w:lang w:val="en-US" w:eastAsia="zh-CN"/>
            </w:rPr>
            <w:t>2.6数据取舍原则</w:t>
          </w:r>
          <w:r>
            <w:rPr>
              <w:rFonts w:ascii="Times New Roman" w:hAnsi="Times New Roman" w:eastAsia="仿宋_GB2312"/>
              <w:sz w:val="28"/>
            </w:rPr>
            <w:tab/>
          </w:r>
          <w:r>
            <w:rPr>
              <w:rFonts w:ascii="Times New Roman" w:hAnsi="Times New Roman" w:eastAsia="仿宋_GB2312"/>
              <w:sz w:val="28"/>
            </w:rPr>
            <w:fldChar w:fldCharType="begin"/>
          </w:r>
          <w:r>
            <w:rPr>
              <w:rFonts w:ascii="Times New Roman" w:hAnsi="Times New Roman" w:eastAsia="仿宋_GB2312"/>
              <w:sz w:val="28"/>
            </w:rPr>
            <w:instrText xml:space="preserve"> PAGEREF _Toc16798 \h </w:instrText>
          </w:r>
          <w:r>
            <w:rPr>
              <w:rFonts w:ascii="Times New Roman" w:hAnsi="Times New Roman" w:eastAsia="仿宋_GB2312"/>
              <w:sz w:val="28"/>
            </w:rPr>
            <w:fldChar w:fldCharType="separate"/>
          </w:r>
          <w:r>
            <w:rPr>
              <w:rFonts w:ascii="Times New Roman" w:hAnsi="Times New Roman" w:eastAsia="仿宋_GB2312"/>
              <w:sz w:val="28"/>
            </w:rPr>
            <w:t>5</w:t>
          </w:r>
          <w:r>
            <w:rPr>
              <w:rFonts w:ascii="Times New Roman" w:hAnsi="Times New Roman" w:eastAsia="仿宋_GB2312"/>
              <w:sz w:val="28"/>
            </w:rPr>
            <w:fldChar w:fldCharType="end"/>
          </w:r>
          <w:r>
            <w:rPr>
              <w:rFonts w:hint="eastAsia" w:ascii="Times New Roman" w:hAnsi="Times New Roman" w:eastAsia="仿宋_GB2312"/>
              <w:sz w:val="28"/>
              <w:lang w:val="en-US" w:eastAsia="zh-CN"/>
            </w:rPr>
            <w:fldChar w:fldCharType="end"/>
          </w:r>
        </w:p>
        <w:p w14:paraId="2A850717">
          <w:pPr>
            <w:pStyle w:val="11"/>
            <w:tabs>
              <w:tab w:val="right" w:leader="dot" w:pos="8363"/>
            </w:tabs>
            <w:rPr>
              <w:rFonts w:ascii="Times New Roman" w:hAnsi="Times New Roman" w:eastAsia="仿宋_GB2312"/>
              <w:sz w:val="28"/>
            </w:rPr>
          </w:pPr>
          <w:r>
            <w:rPr>
              <w:rFonts w:hint="eastAsia" w:ascii="Times New Roman" w:hAnsi="Times New Roman" w:eastAsia="仿宋_GB2312"/>
              <w:sz w:val="28"/>
              <w:lang w:val="en-US" w:eastAsia="zh-CN"/>
            </w:rPr>
            <w:fldChar w:fldCharType="begin"/>
          </w:r>
          <w:r>
            <w:rPr>
              <w:rFonts w:hint="eastAsia" w:ascii="Times New Roman" w:hAnsi="Times New Roman" w:eastAsia="仿宋_GB2312"/>
              <w:sz w:val="28"/>
              <w:lang w:val="en-US" w:eastAsia="zh-CN"/>
            </w:rPr>
            <w:instrText xml:space="preserve"> HYPERLINK \l _Toc2143 </w:instrText>
          </w:r>
          <w:r>
            <w:rPr>
              <w:rFonts w:hint="eastAsia" w:ascii="Times New Roman" w:hAnsi="Times New Roman" w:eastAsia="仿宋_GB2312"/>
              <w:sz w:val="28"/>
              <w:lang w:val="en-US" w:eastAsia="zh-CN"/>
            </w:rPr>
            <w:fldChar w:fldCharType="separate"/>
          </w:r>
          <w:r>
            <w:rPr>
              <w:rFonts w:hint="default" w:ascii="Times New Roman" w:hAnsi="Times New Roman" w:eastAsia="仿宋_GB2312"/>
              <w:sz w:val="28"/>
              <w:lang w:val="en-US" w:eastAsia="zh-CN"/>
            </w:rPr>
            <w:t>3数据收集</w:t>
          </w:r>
          <w:r>
            <w:rPr>
              <w:rFonts w:ascii="Times New Roman" w:hAnsi="Times New Roman" w:eastAsia="仿宋_GB2312"/>
              <w:sz w:val="28"/>
            </w:rPr>
            <w:tab/>
          </w:r>
          <w:r>
            <w:rPr>
              <w:rFonts w:ascii="Times New Roman" w:hAnsi="Times New Roman" w:eastAsia="仿宋_GB2312"/>
              <w:sz w:val="28"/>
            </w:rPr>
            <w:fldChar w:fldCharType="begin"/>
          </w:r>
          <w:r>
            <w:rPr>
              <w:rFonts w:ascii="Times New Roman" w:hAnsi="Times New Roman" w:eastAsia="仿宋_GB2312"/>
              <w:sz w:val="28"/>
            </w:rPr>
            <w:instrText xml:space="preserve"> PAGEREF _Toc2143 \h </w:instrText>
          </w:r>
          <w:r>
            <w:rPr>
              <w:rFonts w:ascii="Times New Roman" w:hAnsi="Times New Roman" w:eastAsia="仿宋_GB2312"/>
              <w:sz w:val="28"/>
            </w:rPr>
            <w:fldChar w:fldCharType="separate"/>
          </w:r>
          <w:r>
            <w:rPr>
              <w:rFonts w:ascii="Times New Roman" w:hAnsi="Times New Roman" w:eastAsia="仿宋_GB2312"/>
              <w:sz w:val="28"/>
            </w:rPr>
            <w:t>6</w:t>
          </w:r>
          <w:r>
            <w:rPr>
              <w:rFonts w:ascii="Times New Roman" w:hAnsi="Times New Roman" w:eastAsia="仿宋_GB2312"/>
              <w:sz w:val="28"/>
            </w:rPr>
            <w:fldChar w:fldCharType="end"/>
          </w:r>
          <w:r>
            <w:rPr>
              <w:rFonts w:hint="eastAsia" w:ascii="Times New Roman" w:hAnsi="Times New Roman" w:eastAsia="仿宋_GB2312"/>
              <w:sz w:val="28"/>
              <w:lang w:val="en-US" w:eastAsia="zh-CN"/>
            </w:rPr>
            <w:fldChar w:fldCharType="end"/>
          </w:r>
        </w:p>
        <w:p w14:paraId="29B25548">
          <w:pPr>
            <w:pStyle w:val="12"/>
            <w:tabs>
              <w:tab w:val="right" w:leader="dot" w:pos="8363"/>
            </w:tabs>
            <w:rPr>
              <w:rFonts w:ascii="Times New Roman" w:hAnsi="Times New Roman" w:eastAsia="仿宋_GB2312"/>
              <w:sz w:val="28"/>
            </w:rPr>
          </w:pPr>
          <w:r>
            <w:rPr>
              <w:rFonts w:hint="eastAsia" w:ascii="Times New Roman" w:hAnsi="Times New Roman" w:eastAsia="仿宋_GB2312"/>
              <w:sz w:val="28"/>
              <w:lang w:val="en-US" w:eastAsia="zh-CN"/>
            </w:rPr>
            <w:fldChar w:fldCharType="begin"/>
          </w:r>
          <w:r>
            <w:rPr>
              <w:rFonts w:hint="eastAsia" w:ascii="Times New Roman" w:hAnsi="Times New Roman" w:eastAsia="仿宋_GB2312"/>
              <w:sz w:val="28"/>
              <w:lang w:val="en-US" w:eastAsia="zh-CN"/>
            </w:rPr>
            <w:instrText xml:space="preserve"> HYPERLINK \l _Toc22879 </w:instrText>
          </w:r>
          <w:r>
            <w:rPr>
              <w:rFonts w:hint="eastAsia" w:ascii="Times New Roman" w:hAnsi="Times New Roman" w:eastAsia="仿宋_GB2312"/>
              <w:sz w:val="28"/>
              <w:lang w:val="en-US" w:eastAsia="zh-CN"/>
            </w:rPr>
            <w:fldChar w:fldCharType="separate"/>
          </w:r>
          <w:r>
            <w:rPr>
              <w:rFonts w:hint="default" w:ascii="Times New Roman" w:hAnsi="Times New Roman" w:eastAsia="仿宋_GB2312"/>
              <w:sz w:val="28"/>
              <w:lang w:val="en-US" w:eastAsia="zh-CN"/>
            </w:rPr>
            <w:t>3.1初级活动水平数据</w:t>
          </w:r>
          <w:r>
            <w:rPr>
              <w:rFonts w:ascii="Times New Roman" w:hAnsi="Times New Roman" w:eastAsia="仿宋_GB2312"/>
              <w:sz w:val="28"/>
            </w:rPr>
            <w:tab/>
          </w:r>
          <w:r>
            <w:rPr>
              <w:rFonts w:ascii="Times New Roman" w:hAnsi="Times New Roman" w:eastAsia="仿宋_GB2312"/>
              <w:sz w:val="28"/>
            </w:rPr>
            <w:fldChar w:fldCharType="begin"/>
          </w:r>
          <w:r>
            <w:rPr>
              <w:rFonts w:ascii="Times New Roman" w:hAnsi="Times New Roman" w:eastAsia="仿宋_GB2312"/>
              <w:sz w:val="28"/>
            </w:rPr>
            <w:instrText xml:space="preserve"> PAGEREF _Toc22879 \h </w:instrText>
          </w:r>
          <w:r>
            <w:rPr>
              <w:rFonts w:ascii="Times New Roman" w:hAnsi="Times New Roman" w:eastAsia="仿宋_GB2312"/>
              <w:sz w:val="28"/>
            </w:rPr>
            <w:fldChar w:fldCharType="separate"/>
          </w:r>
          <w:r>
            <w:rPr>
              <w:rFonts w:ascii="Times New Roman" w:hAnsi="Times New Roman" w:eastAsia="仿宋_GB2312"/>
              <w:sz w:val="28"/>
            </w:rPr>
            <w:t>6</w:t>
          </w:r>
          <w:r>
            <w:rPr>
              <w:rFonts w:ascii="Times New Roman" w:hAnsi="Times New Roman" w:eastAsia="仿宋_GB2312"/>
              <w:sz w:val="28"/>
            </w:rPr>
            <w:fldChar w:fldCharType="end"/>
          </w:r>
          <w:r>
            <w:rPr>
              <w:rFonts w:hint="eastAsia" w:ascii="Times New Roman" w:hAnsi="Times New Roman" w:eastAsia="仿宋_GB2312"/>
              <w:sz w:val="28"/>
              <w:lang w:val="en-US" w:eastAsia="zh-CN"/>
            </w:rPr>
            <w:fldChar w:fldCharType="end"/>
          </w:r>
        </w:p>
        <w:p w14:paraId="273CC73D">
          <w:pPr>
            <w:pStyle w:val="12"/>
            <w:tabs>
              <w:tab w:val="right" w:leader="dot" w:pos="8363"/>
            </w:tabs>
            <w:rPr>
              <w:rFonts w:ascii="Times New Roman" w:hAnsi="Times New Roman" w:eastAsia="仿宋_GB2312"/>
              <w:sz w:val="28"/>
            </w:rPr>
          </w:pPr>
          <w:r>
            <w:rPr>
              <w:rFonts w:hint="eastAsia" w:ascii="Times New Roman" w:hAnsi="Times New Roman" w:eastAsia="仿宋_GB2312"/>
              <w:sz w:val="28"/>
              <w:lang w:val="en-US" w:eastAsia="zh-CN"/>
            </w:rPr>
            <w:fldChar w:fldCharType="begin"/>
          </w:r>
          <w:r>
            <w:rPr>
              <w:rFonts w:hint="eastAsia" w:ascii="Times New Roman" w:hAnsi="Times New Roman" w:eastAsia="仿宋_GB2312"/>
              <w:sz w:val="28"/>
              <w:lang w:val="en-US" w:eastAsia="zh-CN"/>
            </w:rPr>
            <w:instrText xml:space="preserve"> HYPERLINK \l _Toc29764 </w:instrText>
          </w:r>
          <w:r>
            <w:rPr>
              <w:rFonts w:hint="eastAsia" w:ascii="Times New Roman" w:hAnsi="Times New Roman" w:eastAsia="仿宋_GB2312"/>
              <w:sz w:val="28"/>
              <w:lang w:val="en-US" w:eastAsia="zh-CN"/>
            </w:rPr>
            <w:fldChar w:fldCharType="separate"/>
          </w:r>
          <w:r>
            <w:rPr>
              <w:rFonts w:hint="default" w:ascii="Times New Roman" w:hAnsi="Times New Roman" w:eastAsia="仿宋_GB2312"/>
              <w:sz w:val="28"/>
              <w:lang w:val="en-US" w:eastAsia="zh-CN"/>
            </w:rPr>
            <w:t>3.2次级活动水平数据</w:t>
          </w:r>
          <w:r>
            <w:rPr>
              <w:rFonts w:ascii="Times New Roman" w:hAnsi="Times New Roman" w:eastAsia="仿宋_GB2312"/>
              <w:sz w:val="28"/>
            </w:rPr>
            <w:tab/>
          </w:r>
          <w:r>
            <w:rPr>
              <w:rFonts w:ascii="Times New Roman" w:hAnsi="Times New Roman" w:eastAsia="仿宋_GB2312"/>
              <w:sz w:val="28"/>
            </w:rPr>
            <w:fldChar w:fldCharType="begin"/>
          </w:r>
          <w:r>
            <w:rPr>
              <w:rFonts w:ascii="Times New Roman" w:hAnsi="Times New Roman" w:eastAsia="仿宋_GB2312"/>
              <w:sz w:val="28"/>
            </w:rPr>
            <w:instrText xml:space="preserve"> PAGEREF _Toc29764 \h </w:instrText>
          </w:r>
          <w:r>
            <w:rPr>
              <w:rFonts w:ascii="Times New Roman" w:hAnsi="Times New Roman" w:eastAsia="仿宋_GB2312"/>
              <w:sz w:val="28"/>
            </w:rPr>
            <w:fldChar w:fldCharType="separate"/>
          </w:r>
          <w:r>
            <w:rPr>
              <w:rFonts w:ascii="Times New Roman" w:hAnsi="Times New Roman" w:eastAsia="仿宋_GB2312"/>
              <w:sz w:val="28"/>
            </w:rPr>
            <w:t>6</w:t>
          </w:r>
          <w:r>
            <w:rPr>
              <w:rFonts w:ascii="Times New Roman" w:hAnsi="Times New Roman" w:eastAsia="仿宋_GB2312"/>
              <w:sz w:val="28"/>
            </w:rPr>
            <w:fldChar w:fldCharType="end"/>
          </w:r>
          <w:r>
            <w:rPr>
              <w:rFonts w:hint="eastAsia" w:ascii="Times New Roman" w:hAnsi="Times New Roman" w:eastAsia="仿宋_GB2312"/>
              <w:sz w:val="28"/>
              <w:lang w:val="en-US" w:eastAsia="zh-CN"/>
            </w:rPr>
            <w:fldChar w:fldCharType="end"/>
          </w:r>
        </w:p>
        <w:p w14:paraId="548DC0AC">
          <w:pPr>
            <w:pStyle w:val="12"/>
            <w:tabs>
              <w:tab w:val="right" w:leader="dot" w:pos="8363"/>
            </w:tabs>
            <w:rPr>
              <w:rFonts w:ascii="Times New Roman" w:hAnsi="Times New Roman" w:eastAsia="仿宋_GB2312"/>
              <w:sz w:val="28"/>
            </w:rPr>
          </w:pPr>
          <w:r>
            <w:rPr>
              <w:rFonts w:hint="eastAsia" w:ascii="Times New Roman" w:hAnsi="Times New Roman" w:eastAsia="仿宋_GB2312"/>
              <w:sz w:val="28"/>
              <w:lang w:val="en-US" w:eastAsia="zh-CN"/>
            </w:rPr>
            <w:fldChar w:fldCharType="begin"/>
          </w:r>
          <w:r>
            <w:rPr>
              <w:rFonts w:hint="eastAsia" w:ascii="Times New Roman" w:hAnsi="Times New Roman" w:eastAsia="仿宋_GB2312"/>
              <w:sz w:val="28"/>
              <w:lang w:val="en-US" w:eastAsia="zh-CN"/>
            </w:rPr>
            <w:instrText xml:space="preserve"> HYPERLINK \l _Toc16597 </w:instrText>
          </w:r>
          <w:r>
            <w:rPr>
              <w:rFonts w:hint="eastAsia" w:ascii="Times New Roman" w:hAnsi="Times New Roman" w:eastAsia="仿宋_GB2312"/>
              <w:sz w:val="28"/>
              <w:lang w:val="en-US" w:eastAsia="zh-CN"/>
            </w:rPr>
            <w:fldChar w:fldCharType="separate"/>
          </w:r>
          <w:r>
            <w:rPr>
              <w:rFonts w:hint="default" w:ascii="Times New Roman" w:hAnsi="Times New Roman" w:eastAsia="仿宋_GB2312"/>
              <w:sz w:val="28"/>
              <w:lang w:val="en-US" w:eastAsia="zh-CN"/>
            </w:rPr>
            <w:t>3.3过程清单数据表</w:t>
          </w:r>
          <w:r>
            <w:rPr>
              <w:rFonts w:ascii="Times New Roman" w:hAnsi="Times New Roman" w:eastAsia="仿宋_GB2312"/>
              <w:sz w:val="28"/>
            </w:rPr>
            <w:tab/>
          </w:r>
          <w:r>
            <w:rPr>
              <w:rFonts w:ascii="Times New Roman" w:hAnsi="Times New Roman" w:eastAsia="仿宋_GB2312"/>
              <w:sz w:val="28"/>
            </w:rPr>
            <w:fldChar w:fldCharType="begin"/>
          </w:r>
          <w:r>
            <w:rPr>
              <w:rFonts w:ascii="Times New Roman" w:hAnsi="Times New Roman" w:eastAsia="仿宋_GB2312"/>
              <w:sz w:val="28"/>
            </w:rPr>
            <w:instrText xml:space="preserve"> PAGEREF _Toc16597 \h </w:instrText>
          </w:r>
          <w:r>
            <w:rPr>
              <w:rFonts w:ascii="Times New Roman" w:hAnsi="Times New Roman" w:eastAsia="仿宋_GB2312"/>
              <w:sz w:val="28"/>
            </w:rPr>
            <w:fldChar w:fldCharType="separate"/>
          </w:r>
          <w:r>
            <w:rPr>
              <w:rFonts w:ascii="Times New Roman" w:hAnsi="Times New Roman" w:eastAsia="仿宋_GB2312"/>
              <w:sz w:val="28"/>
            </w:rPr>
            <w:t>7</w:t>
          </w:r>
          <w:r>
            <w:rPr>
              <w:rFonts w:ascii="Times New Roman" w:hAnsi="Times New Roman" w:eastAsia="仿宋_GB2312"/>
              <w:sz w:val="28"/>
            </w:rPr>
            <w:fldChar w:fldCharType="end"/>
          </w:r>
          <w:r>
            <w:rPr>
              <w:rFonts w:hint="eastAsia" w:ascii="Times New Roman" w:hAnsi="Times New Roman" w:eastAsia="仿宋_GB2312"/>
              <w:sz w:val="28"/>
              <w:lang w:val="en-US" w:eastAsia="zh-CN"/>
            </w:rPr>
            <w:fldChar w:fldCharType="end"/>
          </w:r>
        </w:p>
        <w:p w14:paraId="58539F69">
          <w:pPr>
            <w:pStyle w:val="11"/>
            <w:tabs>
              <w:tab w:val="right" w:leader="dot" w:pos="8363"/>
            </w:tabs>
            <w:rPr>
              <w:rFonts w:ascii="Times New Roman" w:hAnsi="Times New Roman" w:eastAsia="仿宋_GB2312"/>
              <w:sz w:val="28"/>
            </w:rPr>
          </w:pPr>
          <w:r>
            <w:rPr>
              <w:rFonts w:hint="eastAsia" w:ascii="Times New Roman" w:hAnsi="Times New Roman" w:eastAsia="仿宋_GB2312"/>
              <w:sz w:val="28"/>
              <w:lang w:val="en-US" w:eastAsia="zh-CN"/>
            </w:rPr>
            <w:fldChar w:fldCharType="begin"/>
          </w:r>
          <w:r>
            <w:rPr>
              <w:rFonts w:hint="eastAsia" w:ascii="Times New Roman" w:hAnsi="Times New Roman" w:eastAsia="仿宋_GB2312"/>
              <w:sz w:val="28"/>
              <w:lang w:val="en-US" w:eastAsia="zh-CN"/>
            </w:rPr>
            <w:instrText xml:space="preserve"> HYPERLINK \l _Toc28304 </w:instrText>
          </w:r>
          <w:r>
            <w:rPr>
              <w:rFonts w:hint="eastAsia" w:ascii="Times New Roman" w:hAnsi="Times New Roman" w:eastAsia="仿宋_GB2312"/>
              <w:sz w:val="28"/>
              <w:lang w:val="en-US" w:eastAsia="zh-CN"/>
            </w:rPr>
            <w:fldChar w:fldCharType="separate"/>
          </w:r>
          <w:r>
            <w:rPr>
              <w:rFonts w:ascii="Times New Roman" w:hAnsi="Times New Roman" w:eastAsia="仿宋_GB2312" w:cs="Times New Roman"/>
              <w:bCs/>
              <w:snapToGrid w:val="0"/>
              <w:spacing w:val="4"/>
              <w:kern w:val="0"/>
              <w:sz w:val="28"/>
              <w:szCs w:val="35"/>
              <w:lang w:eastAsia="en-US"/>
            </w:rPr>
            <w:t>4</w:t>
          </w:r>
          <w:r>
            <w:rPr>
              <w:rFonts w:ascii="Times New Roman" w:hAnsi="Times New Roman" w:eastAsia="仿宋_GB2312" w:cs="宋体"/>
              <w:bCs/>
              <w:snapToGrid w:val="0"/>
              <w:spacing w:val="4"/>
              <w:kern w:val="0"/>
              <w:sz w:val="28"/>
              <w:szCs w:val="35"/>
              <w:lang w:eastAsia="en-US"/>
            </w:rPr>
            <w:t>碳足迹计算</w:t>
          </w:r>
          <w:r>
            <w:rPr>
              <w:rFonts w:ascii="Times New Roman" w:hAnsi="Times New Roman" w:eastAsia="仿宋_GB2312"/>
              <w:sz w:val="28"/>
            </w:rPr>
            <w:tab/>
          </w:r>
          <w:r>
            <w:rPr>
              <w:rFonts w:ascii="Times New Roman" w:hAnsi="Times New Roman" w:eastAsia="仿宋_GB2312"/>
              <w:sz w:val="28"/>
            </w:rPr>
            <w:fldChar w:fldCharType="begin"/>
          </w:r>
          <w:r>
            <w:rPr>
              <w:rFonts w:ascii="Times New Roman" w:hAnsi="Times New Roman" w:eastAsia="仿宋_GB2312"/>
              <w:sz w:val="28"/>
            </w:rPr>
            <w:instrText xml:space="preserve"> PAGEREF _Toc28304 \h </w:instrText>
          </w:r>
          <w:r>
            <w:rPr>
              <w:rFonts w:ascii="Times New Roman" w:hAnsi="Times New Roman" w:eastAsia="仿宋_GB2312"/>
              <w:sz w:val="28"/>
            </w:rPr>
            <w:fldChar w:fldCharType="separate"/>
          </w:r>
          <w:r>
            <w:rPr>
              <w:rFonts w:ascii="Times New Roman" w:hAnsi="Times New Roman" w:eastAsia="仿宋_GB2312"/>
              <w:sz w:val="28"/>
            </w:rPr>
            <w:t>8</w:t>
          </w:r>
          <w:r>
            <w:rPr>
              <w:rFonts w:ascii="Times New Roman" w:hAnsi="Times New Roman" w:eastAsia="仿宋_GB2312"/>
              <w:sz w:val="28"/>
            </w:rPr>
            <w:fldChar w:fldCharType="end"/>
          </w:r>
          <w:r>
            <w:rPr>
              <w:rFonts w:hint="eastAsia" w:ascii="Times New Roman" w:hAnsi="Times New Roman" w:eastAsia="仿宋_GB2312"/>
              <w:sz w:val="28"/>
              <w:lang w:val="en-US" w:eastAsia="zh-CN"/>
            </w:rPr>
            <w:fldChar w:fldCharType="end"/>
          </w:r>
        </w:p>
        <w:p w14:paraId="28F55C25">
          <w:pPr>
            <w:pStyle w:val="12"/>
            <w:tabs>
              <w:tab w:val="right" w:leader="dot" w:pos="8363"/>
            </w:tabs>
            <w:rPr>
              <w:rFonts w:ascii="Times New Roman" w:hAnsi="Times New Roman" w:eastAsia="仿宋_GB2312"/>
              <w:sz w:val="28"/>
            </w:rPr>
          </w:pPr>
          <w:r>
            <w:rPr>
              <w:rFonts w:hint="eastAsia" w:ascii="Times New Roman" w:hAnsi="Times New Roman" w:eastAsia="仿宋_GB2312"/>
              <w:sz w:val="28"/>
              <w:lang w:val="en-US" w:eastAsia="zh-CN"/>
            </w:rPr>
            <w:fldChar w:fldCharType="begin"/>
          </w:r>
          <w:r>
            <w:rPr>
              <w:rFonts w:hint="eastAsia" w:ascii="Times New Roman" w:hAnsi="Times New Roman" w:eastAsia="仿宋_GB2312"/>
              <w:sz w:val="28"/>
              <w:lang w:val="en-US" w:eastAsia="zh-CN"/>
            </w:rPr>
            <w:instrText xml:space="preserve"> HYPERLINK \l _Toc10634 </w:instrText>
          </w:r>
          <w:r>
            <w:rPr>
              <w:rFonts w:hint="eastAsia" w:ascii="Times New Roman" w:hAnsi="Times New Roman" w:eastAsia="仿宋_GB2312"/>
              <w:sz w:val="28"/>
              <w:lang w:val="en-US" w:eastAsia="zh-CN"/>
            </w:rPr>
            <w:fldChar w:fldCharType="separate"/>
          </w:r>
          <w:r>
            <w:rPr>
              <w:rFonts w:ascii="Times New Roman" w:hAnsi="Times New Roman" w:eastAsia="仿宋_GB2312" w:cs="Times New Roman"/>
              <w:bCs/>
              <w:snapToGrid w:val="0"/>
              <w:spacing w:val="4"/>
              <w:kern w:val="0"/>
              <w:sz w:val="28"/>
              <w:szCs w:val="31"/>
              <w:lang w:eastAsia="en-US"/>
            </w:rPr>
            <w:t>4.1</w:t>
          </w:r>
          <w:r>
            <w:rPr>
              <w:rFonts w:ascii="Times New Roman" w:hAnsi="Times New Roman" w:eastAsia="仿宋_GB2312" w:cs="宋体"/>
              <w:bCs/>
              <w:snapToGrid w:val="0"/>
              <w:spacing w:val="4"/>
              <w:kern w:val="0"/>
              <w:sz w:val="28"/>
              <w:szCs w:val="31"/>
              <w:lang w:eastAsia="en-US"/>
            </w:rPr>
            <w:t>计算公式</w:t>
          </w:r>
          <w:r>
            <w:rPr>
              <w:rFonts w:ascii="Times New Roman" w:hAnsi="Times New Roman" w:eastAsia="仿宋_GB2312"/>
              <w:sz w:val="28"/>
            </w:rPr>
            <w:tab/>
          </w:r>
          <w:r>
            <w:rPr>
              <w:rFonts w:ascii="Times New Roman" w:hAnsi="Times New Roman" w:eastAsia="仿宋_GB2312"/>
              <w:sz w:val="28"/>
            </w:rPr>
            <w:fldChar w:fldCharType="begin"/>
          </w:r>
          <w:r>
            <w:rPr>
              <w:rFonts w:ascii="Times New Roman" w:hAnsi="Times New Roman" w:eastAsia="仿宋_GB2312"/>
              <w:sz w:val="28"/>
            </w:rPr>
            <w:instrText xml:space="preserve"> PAGEREF _Toc10634 \h </w:instrText>
          </w:r>
          <w:r>
            <w:rPr>
              <w:rFonts w:ascii="Times New Roman" w:hAnsi="Times New Roman" w:eastAsia="仿宋_GB2312"/>
              <w:sz w:val="28"/>
            </w:rPr>
            <w:fldChar w:fldCharType="separate"/>
          </w:r>
          <w:r>
            <w:rPr>
              <w:rFonts w:ascii="Times New Roman" w:hAnsi="Times New Roman" w:eastAsia="仿宋_GB2312"/>
              <w:sz w:val="28"/>
            </w:rPr>
            <w:t>8</w:t>
          </w:r>
          <w:r>
            <w:rPr>
              <w:rFonts w:ascii="Times New Roman" w:hAnsi="Times New Roman" w:eastAsia="仿宋_GB2312"/>
              <w:sz w:val="28"/>
            </w:rPr>
            <w:fldChar w:fldCharType="end"/>
          </w:r>
          <w:r>
            <w:rPr>
              <w:rFonts w:hint="eastAsia" w:ascii="Times New Roman" w:hAnsi="Times New Roman" w:eastAsia="仿宋_GB2312"/>
              <w:sz w:val="28"/>
              <w:lang w:val="en-US" w:eastAsia="zh-CN"/>
            </w:rPr>
            <w:fldChar w:fldCharType="end"/>
          </w:r>
        </w:p>
        <w:p w14:paraId="1DDE1323">
          <w:pPr>
            <w:pStyle w:val="12"/>
            <w:tabs>
              <w:tab w:val="right" w:leader="dot" w:pos="8363"/>
            </w:tabs>
            <w:rPr>
              <w:rFonts w:ascii="Times New Roman" w:hAnsi="Times New Roman" w:eastAsia="仿宋_GB2312"/>
              <w:sz w:val="28"/>
            </w:rPr>
          </w:pPr>
          <w:r>
            <w:rPr>
              <w:rFonts w:hint="eastAsia" w:ascii="Times New Roman" w:hAnsi="Times New Roman" w:eastAsia="仿宋_GB2312"/>
              <w:sz w:val="28"/>
              <w:lang w:val="en-US" w:eastAsia="zh-CN"/>
            </w:rPr>
            <w:fldChar w:fldCharType="begin"/>
          </w:r>
          <w:r>
            <w:rPr>
              <w:rFonts w:hint="eastAsia" w:ascii="Times New Roman" w:hAnsi="Times New Roman" w:eastAsia="仿宋_GB2312"/>
              <w:sz w:val="28"/>
              <w:lang w:val="en-US" w:eastAsia="zh-CN"/>
            </w:rPr>
            <w:instrText xml:space="preserve"> HYPERLINK \l _Toc28878 </w:instrText>
          </w:r>
          <w:r>
            <w:rPr>
              <w:rFonts w:hint="eastAsia" w:ascii="Times New Roman" w:hAnsi="Times New Roman" w:eastAsia="仿宋_GB2312"/>
              <w:sz w:val="28"/>
              <w:lang w:val="en-US" w:eastAsia="zh-CN"/>
            </w:rPr>
            <w:fldChar w:fldCharType="separate"/>
          </w:r>
          <w:r>
            <w:rPr>
              <w:rFonts w:ascii="Times New Roman" w:hAnsi="Times New Roman" w:eastAsia="仿宋_GB2312" w:cs="Times New Roman"/>
              <w:bCs/>
              <w:snapToGrid w:val="0"/>
              <w:spacing w:val="4"/>
              <w:kern w:val="0"/>
              <w:sz w:val="28"/>
              <w:szCs w:val="31"/>
              <w:lang w:eastAsia="en-US"/>
            </w:rPr>
            <w:t>4.2</w:t>
          </w:r>
          <w:r>
            <w:rPr>
              <w:rFonts w:ascii="Times New Roman" w:hAnsi="Times New Roman" w:eastAsia="仿宋_GB2312" w:cs="宋体"/>
              <w:bCs/>
              <w:snapToGrid w:val="0"/>
              <w:spacing w:val="4"/>
              <w:kern w:val="0"/>
              <w:sz w:val="28"/>
              <w:szCs w:val="31"/>
              <w:lang w:eastAsia="en-US"/>
            </w:rPr>
            <w:t>产品碳足迹</w:t>
          </w:r>
          <w:r>
            <w:rPr>
              <w:rFonts w:ascii="Times New Roman" w:hAnsi="Times New Roman" w:eastAsia="仿宋_GB2312"/>
              <w:sz w:val="28"/>
            </w:rPr>
            <w:tab/>
          </w:r>
          <w:r>
            <w:rPr>
              <w:rFonts w:ascii="Times New Roman" w:hAnsi="Times New Roman" w:eastAsia="仿宋_GB2312"/>
              <w:sz w:val="28"/>
            </w:rPr>
            <w:fldChar w:fldCharType="begin"/>
          </w:r>
          <w:r>
            <w:rPr>
              <w:rFonts w:ascii="Times New Roman" w:hAnsi="Times New Roman" w:eastAsia="仿宋_GB2312"/>
              <w:sz w:val="28"/>
            </w:rPr>
            <w:instrText xml:space="preserve"> PAGEREF _Toc28878 \h </w:instrText>
          </w:r>
          <w:r>
            <w:rPr>
              <w:rFonts w:ascii="Times New Roman" w:hAnsi="Times New Roman" w:eastAsia="仿宋_GB2312"/>
              <w:sz w:val="28"/>
            </w:rPr>
            <w:fldChar w:fldCharType="separate"/>
          </w:r>
          <w:r>
            <w:rPr>
              <w:rFonts w:ascii="Times New Roman" w:hAnsi="Times New Roman" w:eastAsia="仿宋_GB2312"/>
              <w:sz w:val="28"/>
            </w:rPr>
            <w:t>8</w:t>
          </w:r>
          <w:r>
            <w:rPr>
              <w:rFonts w:ascii="Times New Roman" w:hAnsi="Times New Roman" w:eastAsia="仿宋_GB2312"/>
              <w:sz w:val="28"/>
            </w:rPr>
            <w:fldChar w:fldCharType="end"/>
          </w:r>
          <w:r>
            <w:rPr>
              <w:rFonts w:hint="eastAsia" w:ascii="Times New Roman" w:hAnsi="Times New Roman" w:eastAsia="仿宋_GB2312"/>
              <w:sz w:val="28"/>
              <w:lang w:val="en-US" w:eastAsia="zh-CN"/>
            </w:rPr>
            <w:fldChar w:fldCharType="end"/>
          </w:r>
        </w:p>
        <w:p w14:paraId="620B753D">
          <w:pPr>
            <w:pStyle w:val="11"/>
            <w:tabs>
              <w:tab w:val="right" w:leader="dot" w:pos="8363"/>
            </w:tabs>
            <w:rPr>
              <w:rFonts w:ascii="Times New Roman" w:hAnsi="Times New Roman" w:eastAsia="仿宋_GB2312"/>
              <w:sz w:val="28"/>
            </w:rPr>
          </w:pPr>
          <w:r>
            <w:rPr>
              <w:rFonts w:hint="eastAsia" w:ascii="Times New Roman" w:hAnsi="Times New Roman" w:eastAsia="仿宋_GB2312"/>
              <w:sz w:val="28"/>
              <w:lang w:val="en-US" w:eastAsia="zh-CN"/>
            </w:rPr>
            <w:fldChar w:fldCharType="begin"/>
          </w:r>
          <w:r>
            <w:rPr>
              <w:rFonts w:hint="eastAsia" w:ascii="Times New Roman" w:hAnsi="Times New Roman" w:eastAsia="仿宋_GB2312"/>
              <w:sz w:val="28"/>
              <w:lang w:val="en-US" w:eastAsia="zh-CN"/>
            </w:rPr>
            <w:instrText xml:space="preserve"> HYPERLINK \l _Toc9303 </w:instrText>
          </w:r>
          <w:r>
            <w:rPr>
              <w:rFonts w:hint="eastAsia" w:ascii="Times New Roman" w:hAnsi="Times New Roman" w:eastAsia="仿宋_GB2312"/>
              <w:sz w:val="28"/>
              <w:lang w:val="en-US" w:eastAsia="zh-CN"/>
            </w:rPr>
            <w:fldChar w:fldCharType="separate"/>
          </w:r>
          <w:r>
            <w:rPr>
              <w:rFonts w:hint="default" w:ascii="Times New Roman" w:hAnsi="Times New Roman" w:eastAsia="仿宋_GB2312"/>
              <w:sz w:val="28"/>
              <w:lang w:val="en-US" w:eastAsia="zh-CN"/>
            </w:rPr>
            <w:t>5生命周期影响分析</w:t>
          </w:r>
          <w:r>
            <w:rPr>
              <w:rFonts w:ascii="Times New Roman" w:hAnsi="Times New Roman" w:eastAsia="仿宋_GB2312"/>
              <w:sz w:val="28"/>
            </w:rPr>
            <w:tab/>
          </w:r>
          <w:r>
            <w:rPr>
              <w:rFonts w:ascii="Times New Roman" w:hAnsi="Times New Roman" w:eastAsia="仿宋_GB2312"/>
              <w:sz w:val="28"/>
            </w:rPr>
            <w:fldChar w:fldCharType="begin"/>
          </w:r>
          <w:r>
            <w:rPr>
              <w:rFonts w:ascii="Times New Roman" w:hAnsi="Times New Roman" w:eastAsia="仿宋_GB2312"/>
              <w:sz w:val="28"/>
            </w:rPr>
            <w:instrText xml:space="preserve"> PAGEREF _Toc9303 \h </w:instrText>
          </w:r>
          <w:r>
            <w:rPr>
              <w:rFonts w:ascii="Times New Roman" w:hAnsi="Times New Roman" w:eastAsia="仿宋_GB2312"/>
              <w:sz w:val="28"/>
            </w:rPr>
            <w:fldChar w:fldCharType="separate"/>
          </w:r>
          <w:r>
            <w:rPr>
              <w:rFonts w:ascii="Times New Roman" w:hAnsi="Times New Roman" w:eastAsia="仿宋_GB2312"/>
              <w:sz w:val="28"/>
            </w:rPr>
            <w:t>9</w:t>
          </w:r>
          <w:r>
            <w:rPr>
              <w:rFonts w:ascii="Times New Roman" w:hAnsi="Times New Roman" w:eastAsia="仿宋_GB2312"/>
              <w:sz w:val="28"/>
            </w:rPr>
            <w:fldChar w:fldCharType="end"/>
          </w:r>
          <w:r>
            <w:rPr>
              <w:rFonts w:hint="eastAsia" w:ascii="Times New Roman" w:hAnsi="Times New Roman" w:eastAsia="仿宋_GB2312"/>
              <w:sz w:val="28"/>
              <w:lang w:val="en-US" w:eastAsia="zh-CN"/>
            </w:rPr>
            <w:fldChar w:fldCharType="end"/>
          </w:r>
        </w:p>
        <w:p w14:paraId="3D8B0740">
          <w:pPr>
            <w:pStyle w:val="12"/>
            <w:tabs>
              <w:tab w:val="right" w:leader="dot" w:pos="8363"/>
            </w:tabs>
            <w:rPr>
              <w:rFonts w:ascii="Times New Roman" w:hAnsi="Times New Roman" w:eastAsia="仿宋_GB2312"/>
              <w:sz w:val="28"/>
            </w:rPr>
          </w:pPr>
          <w:r>
            <w:rPr>
              <w:rFonts w:hint="eastAsia" w:ascii="Times New Roman" w:hAnsi="Times New Roman" w:eastAsia="仿宋_GB2312"/>
              <w:sz w:val="28"/>
              <w:lang w:val="en-US" w:eastAsia="zh-CN"/>
            </w:rPr>
            <w:fldChar w:fldCharType="begin"/>
          </w:r>
          <w:r>
            <w:rPr>
              <w:rFonts w:hint="eastAsia" w:ascii="Times New Roman" w:hAnsi="Times New Roman" w:eastAsia="仿宋_GB2312"/>
              <w:sz w:val="28"/>
              <w:lang w:val="en-US" w:eastAsia="zh-CN"/>
            </w:rPr>
            <w:instrText xml:space="preserve"> HYPERLINK \l _Toc22509 </w:instrText>
          </w:r>
          <w:r>
            <w:rPr>
              <w:rFonts w:hint="eastAsia" w:ascii="Times New Roman" w:hAnsi="Times New Roman" w:eastAsia="仿宋_GB2312"/>
              <w:sz w:val="28"/>
              <w:lang w:val="en-US" w:eastAsia="zh-CN"/>
            </w:rPr>
            <w:fldChar w:fldCharType="separate"/>
          </w:r>
          <w:r>
            <w:rPr>
              <w:rFonts w:hint="default" w:ascii="Times New Roman" w:hAnsi="Times New Roman" w:eastAsia="仿宋_GB2312"/>
              <w:sz w:val="28"/>
              <w:lang w:val="en-US" w:eastAsia="zh-CN"/>
            </w:rPr>
            <w:t>5.1产品碳足迹结果</w:t>
          </w:r>
          <w:r>
            <w:rPr>
              <w:rFonts w:ascii="Times New Roman" w:hAnsi="Times New Roman" w:eastAsia="仿宋_GB2312"/>
              <w:sz w:val="28"/>
            </w:rPr>
            <w:tab/>
          </w:r>
          <w:r>
            <w:rPr>
              <w:rFonts w:ascii="Times New Roman" w:hAnsi="Times New Roman" w:eastAsia="仿宋_GB2312"/>
              <w:sz w:val="28"/>
            </w:rPr>
            <w:fldChar w:fldCharType="begin"/>
          </w:r>
          <w:r>
            <w:rPr>
              <w:rFonts w:ascii="Times New Roman" w:hAnsi="Times New Roman" w:eastAsia="仿宋_GB2312"/>
              <w:sz w:val="28"/>
            </w:rPr>
            <w:instrText xml:space="preserve"> PAGEREF _Toc22509 \h </w:instrText>
          </w:r>
          <w:r>
            <w:rPr>
              <w:rFonts w:ascii="Times New Roman" w:hAnsi="Times New Roman" w:eastAsia="仿宋_GB2312"/>
              <w:sz w:val="28"/>
            </w:rPr>
            <w:fldChar w:fldCharType="separate"/>
          </w:r>
          <w:r>
            <w:rPr>
              <w:rFonts w:ascii="Times New Roman" w:hAnsi="Times New Roman" w:eastAsia="仿宋_GB2312"/>
              <w:sz w:val="28"/>
            </w:rPr>
            <w:t>9</w:t>
          </w:r>
          <w:r>
            <w:rPr>
              <w:rFonts w:ascii="Times New Roman" w:hAnsi="Times New Roman" w:eastAsia="仿宋_GB2312"/>
              <w:sz w:val="28"/>
            </w:rPr>
            <w:fldChar w:fldCharType="end"/>
          </w:r>
          <w:r>
            <w:rPr>
              <w:rFonts w:hint="eastAsia" w:ascii="Times New Roman" w:hAnsi="Times New Roman" w:eastAsia="仿宋_GB2312"/>
              <w:sz w:val="28"/>
              <w:lang w:val="en-US" w:eastAsia="zh-CN"/>
            </w:rPr>
            <w:fldChar w:fldCharType="end"/>
          </w:r>
        </w:p>
        <w:p w14:paraId="36ECD527">
          <w:pPr>
            <w:pStyle w:val="12"/>
            <w:tabs>
              <w:tab w:val="right" w:leader="dot" w:pos="8363"/>
            </w:tabs>
            <w:rPr>
              <w:rFonts w:ascii="Times New Roman" w:hAnsi="Times New Roman" w:eastAsia="仿宋_GB2312"/>
              <w:sz w:val="28"/>
            </w:rPr>
          </w:pPr>
          <w:r>
            <w:rPr>
              <w:rFonts w:hint="eastAsia" w:ascii="Times New Roman" w:hAnsi="Times New Roman" w:eastAsia="仿宋_GB2312"/>
              <w:sz w:val="28"/>
              <w:lang w:val="en-US" w:eastAsia="zh-CN"/>
            </w:rPr>
            <w:fldChar w:fldCharType="begin"/>
          </w:r>
          <w:r>
            <w:rPr>
              <w:rFonts w:hint="eastAsia" w:ascii="Times New Roman" w:hAnsi="Times New Roman" w:eastAsia="仿宋_GB2312"/>
              <w:sz w:val="28"/>
              <w:lang w:val="en-US" w:eastAsia="zh-CN"/>
            </w:rPr>
            <w:instrText xml:space="preserve"> HYPERLINK \l _Toc21511 </w:instrText>
          </w:r>
          <w:r>
            <w:rPr>
              <w:rFonts w:hint="eastAsia" w:ascii="Times New Roman" w:hAnsi="Times New Roman" w:eastAsia="仿宋_GB2312"/>
              <w:sz w:val="28"/>
              <w:lang w:val="en-US" w:eastAsia="zh-CN"/>
            </w:rPr>
            <w:fldChar w:fldCharType="separate"/>
          </w:r>
          <w:r>
            <w:rPr>
              <w:rFonts w:hint="default" w:ascii="Times New Roman" w:hAnsi="Times New Roman" w:eastAsia="仿宋_GB2312"/>
              <w:sz w:val="28"/>
              <w:lang w:val="en-US" w:eastAsia="zh-CN"/>
            </w:rPr>
            <w:t>5.2过程累积贡献分析</w:t>
          </w:r>
          <w:r>
            <w:rPr>
              <w:rFonts w:ascii="Times New Roman" w:hAnsi="Times New Roman" w:eastAsia="仿宋_GB2312"/>
              <w:sz w:val="28"/>
            </w:rPr>
            <w:tab/>
          </w:r>
          <w:r>
            <w:rPr>
              <w:rFonts w:ascii="Times New Roman" w:hAnsi="Times New Roman" w:eastAsia="仿宋_GB2312"/>
              <w:sz w:val="28"/>
            </w:rPr>
            <w:fldChar w:fldCharType="begin"/>
          </w:r>
          <w:r>
            <w:rPr>
              <w:rFonts w:ascii="Times New Roman" w:hAnsi="Times New Roman" w:eastAsia="仿宋_GB2312"/>
              <w:sz w:val="28"/>
            </w:rPr>
            <w:instrText xml:space="preserve"> PAGEREF _Toc21511 \h </w:instrText>
          </w:r>
          <w:r>
            <w:rPr>
              <w:rFonts w:ascii="Times New Roman" w:hAnsi="Times New Roman" w:eastAsia="仿宋_GB2312"/>
              <w:sz w:val="28"/>
            </w:rPr>
            <w:fldChar w:fldCharType="separate"/>
          </w:r>
          <w:r>
            <w:rPr>
              <w:rFonts w:ascii="Times New Roman" w:hAnsi="Times New Roman" w:eastAsia="仿宋_GB2312"/>
              <w:sz w:val="28"/>
            </w:rPr>
            <w:t>9</w:t>
          </w:r>
          <w:r>
            <w:rPr>
              <w:rFonts w:ascii="Times New Roman" w:hAnsi="Times New Roman" w:eastAsia="仿宋_GB2312"/>
              <w:sz w:val="28"/>
            </w:rPr>
            <w:fldChar w:fldCharType="end"/>
          </w:r>
          <w:r>
            <w:rPr>
              <w:rFonts w:hint="eastAsia" w:ascii="Times New Roman" w:hAnsi="Times New Roman" w:eastAsia="仿宋_GB2312"/>
              <w:sz w:val="28"/>
              <w:lang w:val="en-US" w:eastAsia="zh-CN"/>
            </w:rPr>
            <w:fldChar w:fldCharType="end"/>
          </w:r>
        </w:p>
        <w:p w14:paraId="709E0DF3">
          <w:pPr>
            <w:pStyle w:val="11"/>
            <w:tabs>
              <w:tab w:val="right" w:leader="dot" w:pos="8363"/>
            </w:tabs>
            <w:rPr>
              <w:rFonts w:ascii="Times New Roman" w:hAnsi="Times New Roman" w:eastAsia="仿宋_GB2312"/>
              <w:sz w:val="28"/>
            </w:rPr>
          </w:pPr>
          <w:r>
            <w:rPr>
              <w:rFonts w:hint="eastAsia" w:ascii="Times New Roman" w:hAnsi="Times New Roman" w:eastAsia="仿宋_GB2312"/>
              <w:sz w:val="28"/>
              <w:lang w:val="en-US" w:eastAsia="zh-CN"/>
            </w:rPr>
            <w:fldChar w:fldCharType="begin"/>
          </w:r>
          <w:r>
            <w:rPr>
              <w:rFonts w:hint="eastAsia" w:ascii="Times New Roman" w:hAnsi="Times New Roman" w:eastAsia="仿宋_GB2312"/>
              <w:sz w:val="28"/>
              <w:lang w:val="en-US" w:eastAsia="zh-CN"/>
            </w:rPr>
            <w:instrText xml:space="preserve"> HYPERLINK \l _Toc22232 </w:instrText>
          </w:r>
          <w:r>
            <w:rPr>
              <w:rFonts w:hint="eastAsia" w:ascii="Times New Roman" w:hAnsi="Times New Roman" w:eastAsia="仿宋_GB2312"/>
              <w:sz w:val="28"/>
              <w:lang w:val="en-US" w:eastAsia="zh-CN"/>
            </w:rPr>
            <w:fldChar w:fldCharType="separate"/>
          </w:r>
          <w:r>
            <w:rPr>
              <w:rFonts w:hint="default" w:ascii="Times New Roman" w:hAnsi="Times New Roman" w:eastAsia="仿宋_GB2312"/>
              <w:sz w:val="28"/>
              <w:lang w:val="en-US" w:eastAsia="zh-CN"/>
            </w:rPr>
            <w:t>6生命周期解释</w:t>
          </w:r>
          <w:r>
            <w:rPr>
              <w:rFonts w:ascii="Times New Roman" w:hAnsi="Times New Roman" w:eastAsia="仿宋_GB2312"/>
              <w:sz w:val="28"/>
            </w:rPr>
            <w:tab/>
          </w:r>
          <w:r>
            <w:rPr>
              <w:rFonts w:ascii="Times New Roman" w:hAnsi="Times New Roman" w:eastAsia="仿宋_GB2312"/>
              <w:sz w:val="28"/>
            </w:rPr>
            <w:fldChar w:fldCharType="begin"/>
          </w:r>
          <w:r>
            <w:rPr>
              <w:rFonts w:ascii="Times New Roman" w:hAnsi="Times New Roman" w:eastAsia="仿宋_GB2312"/>
              <w:sz w:val="28"/>
            </w:rPr>
            <w:instrText xml:space="preserve"> PAGEREF _Toc22232 \h </w:instrText>
          </w:r>
          <w:r>
            <w:rPr>
              <w:rFonts w:ascii="Times New Roman" w:hAnsi="Times New Roman" w:eastAsia="仿宋_GB2312"/>
              <w:sz w:val="28"/>
            </w:rPr>
            <w:fldChar w:fldCharType="separate"/>
          </w:r>
          <w:r>
            <w:rPr>
              <w:rFonts w:ascii="Times New Roman" w:hAnsi="Times New Roman" w:eastAsia="仿宋_GB2312"/>
              <w:sz w:val="28"/>
            </w:rPr>
            <w:t>10</w:t>
          </w:r>
          <w:r>
            <w:rPr>
              <w:rFonts w:ascii="Times New Roman" w:hAnsi="Times New Roman" w:eastAsia="仿宋_GB2312"/>
              <w:sz w:val="28"/>
            </w:rPr>
            <w:fldChar w:fldCharType="end"/>
          </w:r>
          <w:r>
            <w:rPr>
              <w:rFonts w:hint="eastAsia" w:ascii="Times New Roman" w:hAnsi="Times New Roman" w:eastAsia="仿宋_GB2312"/>
              <w:sz w:val="28"/>
              <w:lang w:val="en-US" w:eastAsia="zh-CN"/>
            </w:rPr>
            <w:fldChar w:fldCharType="end"/>
          </w:r>
        </w:p>
        <w:p w14:paraId="3F234BCF">
          <w:pPr>
            <w:pStyle w:val="12"/>
            <w:tabs>
              <w:tab w:val="right" w:leader="dot" w:pos="8363"/>
            </w:tabs>
            <w:rPr>
              <w:rFonts w:ascii="Times New Roman" w:hAnsi="Times New Roman" w:eastAsia="仿宋_GB2312"/>
              <w:sz w:val="28"/>
            </w:rPr>
          </w:pPr>
          <w:r>
            <w:rPr>
              <w:rFonts w:hint="eastAsia" w:ascii="Times New Roman" w:hAnsi="Times New Roman" w:eastAsia="仿宋_GB2312"/>
              <w:sz w:val="28"/>
              <w:lang w:val="en-US" w:eastAsia="zh-CN"/>
            </w:rPr>
            <w:fldChar w:fldCharType="begin"/>
          </w:r>
          <w:r>
            <w:rPr>
              <w:rFonts w:hint="eastAsia" w:ascii="Times New Roman" w:hAnsi="Times New Roman" w:eastAsia="仿宋_GB2312"/>
              <w:sz w:val="28"/>
              <w:lang w:val="en-US" w:eastAsia="zh-CN"/>
            </w:rPr>
            <w:instrText xml:space="preserve"> HYPERLINK \l _Toc30202 </w:instrText>
          </w:r>
          <w:r>
            <w:rPr>
              <w:rFonts w:hint="eastAsia" w:ascii="Times New Roman" w:hAnsi="Times New Roman" w:eastAsia="仿宋_GB2312"/>
              <w:sz w:val="28"/>
              <w:lang w:val="en-US" w:eastAsia="zh-CN"/>
            </w:rPr>
            <w:fldChar w:fldCharType="separate"/>
          </w:r>
          <w:r>
            <w:rPr>
              <w:rFonts w:hint="default" w:ascii="Times New Roman" w:hAnsi="Times New Roman" w:eastAsia="仿宋_GB2312"/>
              <w:sz w:val="28"/>
              <w:lang w:val="en-US" w:eastAsia="zh-CN"/>
            </w:rPr>
            <w:t>6.1假设与局限性说明</w:t>
          </w:r>
          <w:r>
            <w:rPr>
              <w:rFonts w:ascii="Times New Roman" w:hAnsi="Times New Roman" w:eastAsia="仿宋_GB2312"/>
              <w:sz w:val="28"/>
            </w:rPr>
            <w:tab/>
          </w:r>
          <w:r>
            <w:rPr>
              <w:rFonts w:ascii="Times New Roman" w:hAnsi="Times New Roman" w:eastAsia="仿宋_GB2312"/>
              <w:sz w:val="28"/>
            </w:rPr>
            <w:fldChar w:fldCharType="begin"/>
          </w:r>
          <w:r>
            <w:rPr>
              <w:rFonts w:ascii="Times New Roman" w:hAnsi="Times New Roman" w:eastAsia="仿宋_GB2312"/>
              <w:sz w:val="28"/>
            </w:rPr>
            <w:instrText xml:space="preserve"> PAGEREF _Toc30202 \h </w:instrText>
          </w:r>
          <w:r>
            <w:rPr>
              <w:rFonts w:ascii="Times New Roman" w:hAnsi="Times New Roman" w:eastAsia="仿宋_GB2312"/>
              <w:sz w:val="28"/>
            </w:rPr>
            <w:fldChar w:fldCharType="separate"/>
          </w:r>
          <w:r>
            <w:rPr>
              <w:rFonts w:ascii="Times New Roman" w:hAnsi="Times New Roman" w:eastAsia="仿宋_GB2312"/>
              <w:sz w:val="28"/>
            </w:rPr>
            <w:t>10</w:t>
          </w:r>
          <w:r>
            <w:rPr>
              <w:rFonts w:ascii="Times New Roman" w:hAnsi="Times New Roman" w:eastAsia="仿宋_GB2312"/>
              <w:sz w:val="28"/>
            </w:rPr>
            <w:fldChar w:fldCharType="end"/>
          </w:r>
          <w:r>
            <w:rPr>
              <w:rFonts w:hint="eastAsia" w:ascii="Times New Roman" w:hAnsi="Times New Roman" w:eastAsia="仿宋_GB2312"/>
              <w:sz w:val="28"/>
              <w:lang w:val="en-US" w:eastAsia="zh-CN"/>
            </w:rPr>
            <w:fldChar w:fldCharType="end"/>
          </w:r>
        </w:p>
        <w:p w14:paraId="79265574">
          <w:pPr>
            <w:pStyle w:val="12"/>
            <w:tabs>
              <w:tab w:val="right" w:leader="dot" w:pos="8363"/>
            </w:tabs>
            <w:rPr>
              <w:rFonts w:ascii="Times New Roman" w:hAnsi="Times New Roman" w:eastAsia="仿宋_GB2312"/>
              <w:sz w:val="28"/>
            </w:rPr>
          </w:pPr>
          <w:r>
            <w:rPr>
              <w:rFonts w:hint="eastAsia" w:ascii="Times New Roman" w:hAnsi="Times New Roman" w:eastAsia="仿宋_GB2312"/>
              <w:sz w:val="28"/>
              <w:lang w:val="en-US" w:eastAsia="zh-CN"/>
            </w:rPr>
            <w:fldChar w:fldCharType="begin"/>
          </w:r>
          <w:r>
            <w:rPr>
              <w:rFonts w:hint="eastAsia" w:ascii="Times New Roman" w:hAnsi="Times New Roman" w:eastAsia="仿宋_GB2312"/>
              <w:sz w:val="28"/>
              <w:lang w:val="en-US" w:eastAsia="zh-CN"/>
            </w:rPr>
            <w:instrText xml:space="preserve"> HYPERLINK \l _Toc15110 </w:instrText>
          </w:r>
          <w:r>
            <w:rPr>
              <w:rFonts w:hint="eastAsia" w:ascii="Times New Roman" w:hAnsi="Times New Roman" w:eastAsia="仿宋_GB2312"/>
              <w:sz w:val="28"/>
              <w:lang w:val="en-US" w:eastAsia="zh-CN"/>
            </w:rPr>
            <w:fldChar w:fldCharType="separate"/>
          </w:r>
          <w:r>
            <w:rPr>
              <w:rFonts w:hint="default" w:ascii="Times New Roman" w:hAnsi="Times New Roman" w:eastAsia="仿宋_GB2312"/>
              <w:sz w:val="28"/>
              <w:lang w:val="en-US" w:eastAsia="zh-CN"/>
            </w:rPr>
            <w:t>6.2完整性说明</w:t>
          </w:r>
          <w:r>
            <w:rPr>
              <w:rFonts w:ascii="Times New Roman" w:hAnsi="Times New Roman" w:eastAsia="仿宋_GB2312"/>
              <w:sz w:val="28"/>
            </w:rPr>
            <w:tab/>
          </w:r>
          <w:r>
            <w:rPr>
              <w:rFonts w:ascii="Times New Roman" w:hAnsi="Times New Roman" w:eastAsia="仿宋_GB2312"/>
              <w:sz w:val="28"/>
            </w:rPr>
            <w:fldChar w:fldCharType="begin"/>
          </w:r>
          <w:r>
            <w:rPr>
              <w:rFonts w:ascii="Times New Roman" w:hAnsi="Times New Roman" w:eastAsia="仿宋_GB2312"/>
              <w:sz w:val="28"/>
            </w:rPr>
            <w:instrText xml:space="preserve"> PAGEREF _Toc15110 \h </w:instrText>
          </w:r>
          <w:r>
            <w:rPr>
              <w:rFonts w:ascii="Times New Roman" w:hAnsi="Times New Roman" w:eastAsia="仿宋_GB2312"/>
              <w:sz w:val="28"/>
            </w:rPr>
            <w:fldChar w:fldCharType="separate"/>
          </w:r>
          <w:r>
            <w:rPr>
              <w:rFonts w:ascii="Times New Roman" w:hAnsi="Times New Roman" w:eastAsia="仿宋_GB2312"/>
              <w:sz w:val="28"/>
            </w:rPr>
            <w:t>10</w:t>
          </w:r>
          <w:r>
            <w:rPr>
              <w:rFonts w:ascii="Times New Roman" w:hAnsi="Times New Roman" w:eastAsia="仿宋_GB2312"/>
              <w:sz w:val="28"/>
            </w:rPr>
            <w:fldChar w:fldCharType="end"/>
          </w:r>
          <w:r>
            <w:rPr>
              <w:rFonts w:hint="eastAsia" w:ascii="Times New Roman" w:hAnsi="Times New Roman" w:eastAsia="仿宋_GB2312"/>
              <w:sz w:val="28"/>
              <w:lang w:val="en-US" w:eastAsia="zh-CN"/>
            </w:rPr>
            <w:fldChar w:fldCharType="end"/>
          </w:r>
        </w:p>
        <w:p w14:paraId="280D47B7">
          <w:pPr>
            <w:pStyle w:val="11"/>
            <w:tabs>
              <w:tab w:val="right" w:leader="dot" w:pos="8363"/>
            </w:tabs>
            <w:rPr>
              <w:rFonts w:ascii="Times New Roman" w:hAnsi="Times New Roman" w:eastAsia="仿宋_GB2312"/>
              <w:sz w:val="28"/>
            </w:rPr>
          </w:pPr>
          <w:r>
            <w:rPr>
              <w:rFonts w:hint="eastAsia" w:ascii="Times New Roman" w:hAnsi="Times New Roman" w:eastAsia="仿宋_GB2312"/>
              <w:sz w:val="28"/>
              <w:lang w:val="en-US" w:eastAsia="zh-CN"/>
            </w:rPr>
            <w:fldChar w:fldCharType="begin"/>
          </w:r>
          <w:r>
            <w:rPr>
              <w:rFonts w:hint="eastAsia" w:ascii="Times New Roman" w:hAnsi="Times New Roman" w:eastAsia="仿宋_GB2312"/>
              <w:sz w:val="28"/>
              <w:lang w:val="en-US" w:eastAsia="zh-CN"/>
            </w:rPr>
            <w:instrText xml:space="preserve"> HYPERLINK \l _Toc30969 </w:instrText>
          </w:r>
          <w:r>
            <w:rPr>
              <w:rFonts w:hint="eastAsia" w:ascii="Times New Roman" w:hAnsi="Times New Roman" w:eastAsia="仿宋_GB2312"/>
              <w:sz w:val="28"/>
              <w:lang w:val="en-US" w:eastAsia="zh-CN"/>
            </w:rPr>
            <w:fldChar w:fldCharType="separate"/>
          </w:r>
          <w:r>
            <w:rPr>
              <w:rFonts w:hint="default" w:ascii="Times New Roman" w:hAnsi="Times New Roman" w:eastAsia="仿宋_GB2312"/>
              <w:sz w:val="28"/>
              <w:lang w:val="en-US" w:eastAsia="zh-CN"/>
            </w:rPr>
            <w:t>7结论与建议</w:t>
          </w:r>
          <w:r>
            <w:rPr>
              <w:rFonts w:ascii="Times New Roman" w:hAnsi="Times New Roman" w:eastAsia="仿宋_GB2312"/>
              <w:sz w:val="28"/>
            </w:rPr>
            <w:tab/>
          </w:r>
          <w:r>
            <w:rPr>
              <w:rFonts w:ascii="Times New Roman" w:hAnsi="Times New Roman" w:eastAsia="仿宋_GB2312"/>
              <w:sz w:val="28"/>
            </w:rPr>
            <w:fldChar w:fldCharType="begin"/>
          </w:r>
          <w:r>
            <w:rPr>
              <w:rFonts w:ascii="Times New Roman" w:hAnsi="Times New Roman" w:eastAsia="仿宋_GB2312"/>
              <w:sz w:val="28"/>
            </w:rPr>
            <w:instrText xml:space="preserve"> PAGEREF _Toc30969 \h </w:instrText>
          </w:r>
          <w:r>
            <w:rPr>
              <w:rFonts w:ascii="Times New Roman" w:hAnsi="Times New Roman" w:eastAsia="仿宋_GB2312"/>
              <w:sz w:val="28"/>
            </w:rPr>
            <w:fldChar w:fldCharType="separate"/>
          </w:r>
          <w:r>
            <w:rPr>
              <w:rFonts w:ascii="Times New Roman" w:hAnsi="Times New Roman" w:eastAsia="仿宋_GB2312"/>
              <w:sz w:val="28"/>
            </w:rPr>
            <w:t>11</w:t>
          </w:r>
          <w:r>
            <w:rPr>
              <w:rFonts w:ascii="Times New Roman" w:hAnsi="Times New Roman" w:eastAsia="仿宋_GB2312"/>
              <w:sz w:val="28"/>
            </w:rPr>
            <w:fldChar w:fldCharType="end"/>
          </w:r>
          <w:r>
            <w:rPr>
              <w:rFonts w:hint="eastAsia" w:ascii="Times New Roman" w:hAnsi="Times New Roman" w:eastAsia="仿宋_GB2312"/>
              <w:sz w:val="28"/>
              <w:lang w:val="en-US" w:eastAsia="zh-CN"/>
            </w:rPr>
            <w:fldChar w:fldCharType="end"/>
          </w:r>
        </w:p>
        <w:p w14:paraId="3C659B3D">
          <w:pPr>
            <w:pStyle w:val="12"/>
            <w:tabs>
              <w:tab w:val="right" w:leader="dot" w:pos="8363"/>
            </w:tabs>
            <w:rPr>
              <w:rFonts w:ascii="Times New Roman" w:hAnsi="Times New Roman" w:eastAsia="仿宋_GB2312"/>
              <w:sz w:val="28"/>
            </w:rPr>
          </w:pPr>
          <w:r>
            <w:rPr>
              <w:rFonts w:hint="eastAsia" w:ascii="Times New Roman" w:hAnsi="Times New Roman" w:eastAsia="仿宋_GB2312"/>
              <w:sz w:val="28"/>
              <w:lang w:val="en-US" w:eastAsia="zh-CN"/>
            </w:rPr>
            <w:fldChar w:fldCharType="begin"/>
          </w:r>
          <w:r>
            <w:rPr>
              <w:rFonts w:hint="eastAsia" w:ascii="Times New Roman" w:hAnsi="Times New Roman" w:eastAsia="仿宋_GB2312"/>
              <w:sz w:val="28"/>
              <w:lang w:val="en-US" w:eastAsia="zh-CN"/>
            </w:rPr>
            <w:instrText xml:space="preserve"> HYPERLINK \l _Toc31366 </w:instrText>
          </w:r>
          <w:r>
            <w:rPr>
              <w:rFonts w:hint="eastAsia" w:ascii="Times New Roman" w:hAnsi="Times New Roman" w:eastAsia="仿宋_GB2312"/>
              <w:sz w:val="28"/>
              <w:lang w:val="en-US" w:eastAsia="zh-CN"/>
            </w:rPr>
            <w:fldChar w:fldCharType="separate"/>
          </w:r>
          <w:r>
            <w:rPr>
              <w:rFonts w:hint="default" w:ascii="Times New Roman" w:hAnsi="Times New Roman" w:eastAsia="仿宋_GB2312"/>
              <w:sz w:val="28"/>
              <w:lang w:val="en-US" w:eastAsia="zh-CN"/>
            </w:rPr>
            <w:t>7.1结论</w:t>
          </w:r>
          <w:r>
            <w:rPr>
              <w:rFonts w:ascii="Times New Roman" w:hAnsi="Times New Roman" w:eastAsia="仿宋_GB2312"/>
              <w:sz w:val="28"/>
            </w:rPr>
            <w:tab/>
          </w:r>
          <w:r>
            <w:rPr>
              <w:rFonts w:ascii="Times New Roman" w:hAnsi="Times New Roman" w:eastAsia="仿宋_GB2312"/>
              <w:sz w:val="28"/>
            </w:rPr>
            <w:fldChar w:fldCharType="begin"/>
          </w:r>
          <w:r>
            <w:rPr>
              <w:rFonts w:ascii="Times New Roman" w:hAnsi="Times New Roman" w:eastAsia="仿宋_GB2312"/>
              <w:sz w:val="28"/>
            </w:rPr>
            <w:instrText xml:space="preserve"> PAGEREF _Toc31366 \h </w:instrText>
          </w:r>
          <w:r>
            <w:rPr>
              <w:rFonts w:ascii="Times New Roman" w:hAnsi="Times New Roman" w:eastAsia="仿宋_GB2312"/>
              <w:sz w:val="28"/>
            </w:rPr>
            <w:fldChar w:fldCharType="separate"/>
          </w:r>
          <w:r>
            <w:rPr>
              <w:rFonts w:ascii="Times New Roman" w:hAnsi="Times New Roman" w:eastAsia="仿宋_GB2312"/>
              <w:sz w:val="28"/>
            </w:rPr>
            <w:t>11</w:t>
          </w:r>
          <w:r>
            <w:rPr>
              <w:rFonts w:ascii="Times New Roman" w:hAnsi="Times New Roman" w:eastAsia="仿宋_GB2312"/>
              <w:sz w:val="28"/>
            </w:rPr>
            <w:fldChar w:fldCharType="end"/>
          </w:r>
          <w:r>
            <w:rPr>
              <w:rFonts w:hint="eastAsia" w:ascii="Times New Roman" w:hAnsi="Times New Roman" w:eastAsia="仿宋_GB2312"/>
              <w:sz w:val="28"/>
              <w:lang w:val="en-US" w:eastAsia="zh-CN"/>
            </w:rPr>
            <w:fldChar w:fldCharType="end"/>
          </w:r>
        </w:p>
        <w:p w14:paraId="711162D9">
          <w:pPr>
            <w:pStyle w:val="12"/>
            <w:tabs>
              <w:tab w:val="right" w:leader="dot" w:pos="8363"/>
            </w:tabs>
            <w:rPr>
              <w:rFonts w:ascii="Times New Roman" w:hAnsi="Times New Roman" w:eastAsia="仿宋_GB2312"/>
              <w:sz w:val="28"/>
            </w:rPr>
          </w:pPr>
          <w:r>
            <w:rPr>
              <w:rFonts w:hint="eastAsia" w:ascii="Times New Roman" w:hAnsi="Times New Roman" w:eastAsia="仿宋_GB2312"/>
              <w:sz w:val="28"/>
              <w:lang w:val="en-US" w:eastAsia="zh-CN"/>
            </w:rPr>
            <w:fldChar w:fldCharType="begin"/>
          </w:r>
          <w:r>
            <w:rPr>
              <w:rFonts w:hint="eastAsia" w:ascii="Times New Roman" w:hAnsi="Times New Roman" w:eastAsia="仿宋_GB2312"/>
              <w:sz w:val="28"/>
              <w:lang w:val="en-US" w:eastAsia="zh-CN"/>
            </w:rPr>
            <w:instrText xml:space="preserve"> HYPERLINK \l _Toc23456 </w:instrText>
          </w:r>
          <w:r>
            <w:rPr>
              <w:rFonts w:hint="eastAsia" w:ascii="Times New Roman" w:hAnsi="Times New Roman" w:eastAsia="仿宋_GB2312"/>
              <w:sz w:val="28"/>
              <w:lang w:val="en-US" w:eastAsia="zh-CN"/>
            </w:rPr>
            <w:fldChar w:fldCharType="separate"/>
          </w:r>
          <w:r>
            <w:rPr>
              <w:rFonts w:hint="default" w:ascii="Times New Roman" w:hAnsi="Times New Roman" w:eastAsia="仿宋_GB2312"/>
              <w:sz w:val="28"/>
              <w:lang w:val="en-US" w:eastAsia="zh-CN"/>
            </w:rPr>
            <w:t>7.2建议</w:t>
          </w:r>
          <w:r>
            <w:rPr>
              <w:rFonts w:ascii="Times New Roman" w:hAnsi="Times New Roman" w:eastAsia="仿宋_GB2312"/>
              <w:sz w:val="28"/>
            </w:rPr>
            <w:tab/>
          </w:r>
          <w:r>
            <w:rPr>
              <w:rFonts w:ascii="Times New Roman" w:hAnsi="Times New Roman" w:eastAsia="仿宋_GB2312"/>
              <w:sz w:val="28"/>
            </w:rPr>
            <w:fldChar w:fldCharType="begin"/>
          </w:r>
          <w:r>
            <w:rPr>
              <w:rFonts w:ascii="Times New Roman" w:hAnsi="Times New Roman" w:eastAsia="仿宋_GB2312"/>
              <w:sz w:val="28"/>
            </w:rPr>
            <w:instrText xml:space="preserve"> PAGEREF _Toc23456 \h </w:instrText>
          </w:r>
          <w:r>
            <w:rPr>
              <w:rFonts w:ascii="Times New Roman" w:hAnsi="Times New Roman" w:eastAsia="仿宋_GB2312"/>
              <w:sz w:val="28"/>
            </w:rPr>
            <w:fldChar w:fldCharType="separate"/>
          </w:r>
          <w:r>
            <w:rPr>
              <w:rFonts w:ascii="Times New Roman" w:hAnsi="Times New Roman" w:eastAsia="仿宋_GB2312"/>
              <w:sz w:val="28"/>
            </w:rPr>
            <w:t>11</w:t>
          </w:r>
          <w:r>
            <w:rPr>
              <w:rFonts w:ascii="Times New Roman" w:hAnsi="Times New Roman" w:eastAsia="仿宋_GB2312"/>
              <w:sz w:val="28"/>
            </w:rPr>
            <w:fldChar w:fldCharType="end"/>
          </w:r>
          <w:r>
            <w:rPr>
              <w:rFonts w:hint="eastAsia" w:ascii="Times New Roman" w:hAnsi="Times New Roman" w:eastAsia="仿宋_GB2312"/>
              <w:sz w:val="28"/>
              <w:lang w:val="en-US" w:eastAsia="zh-CN"/>
            </w:rPr>
            <w:fldChar w:fldCharType="end"/>
          </w:r>
        </w:p>
        <w:p w14:paraId="6C837B17">
          <w:pPr>
            <w:pStyle w:val="11"/>
            <w:tabs>
              <w:tab w:val="right" w:leader="dot" w:pos="8363"/>
            </w:tabs>
          </w:pPr>
          <w:r>
            <w:rPr>
              <w:rFonts w:hint="eastAsia" w:ascii="Times New Roman" w:hAnsi="Times New Roman" w:eastAsia="仿宋_GB2312"/>
              <w:sz w:val="28"/>
              <w:lang w:val="en-US" w:eastAsia="zh-CN"/>
            </w:rPr>
            <w:fldChar w:fldCharType="begin"/>
          </w:r>
          <w:r>
            <w:rPr>
              <w:rFonts w:hint="eastAsia" w:ascii="Times New Roman" w:hAnsi="Times New Roman" w:eastAsia="仿宋_GB2312"/>
              <w:sz w:val="28"/>
              <w:lang w:val="en-US" w:eastAsia="zh-CN"/>
            </w:rPr>
            <w:instrText xml:space="preserve"> HYPERLINK \l _Toc32579 </w:instrText>
          </w:r>
          <w:r>
            <w:rPr>
              <w:rFonts w:hint="eastAsia" w:ascii="Times New Roman" w:hAnsi="Times New Roman" w:eastAsia="仿宋_GB2312"/>
              <w:sz w:val="28"/>
              <w:lang w:val="en-US" w:eastAsia="zh-CN"/>
            </w:rPr>
            <w:fldChar w:fldCharType="separate"/>
          </w:r>
          <w:r>
            <w:rPr>
              <w:rFonts w:hint="default" w:ascii="Times New Roman" w:hAnsi="Times New Roman" w:eastAsia="仿宋_GB2312"/>
              <w:sz w:val="28"/>
              <w:lang w:val="en-US" w:eastAsia="zh-CN"/>
            </w:rPr>
            <w:t>8结语</w:t>
          </w:r>
          <w:r>
            <w:rPr>
              <w:rFonts w:ascii="Times New Roman" w:hAnsi="Times New Roman" w:eastAsia="仿宋_GB2312"/>
              <w:sz w:val="28"/>
            </w:rPr>
            <w:tab/>
          </w:r>
          <w:r>
            <w:rPr>
              <w:rFonts w:ascii="Times New Roman" w:hAnsi="Times New Roman" w:eastAsia="仿宋_GB2312"/>
              <w:sz w:val="28"/>
            </w:rPr>
            <w:fldChar w:fldCharType="begin"/>
          </w:r>
          <w:r>
            <w:rPr>
              <w:rFonts w:ascii="Times New Roman" w:hAnsi="Times New Roman" w:eastAsia="仿宋_GB2312"/>
              <w:sz w:val="28"/>
            </w:rPr>
            <w:instrText xml:space="preserve"> PAGEREF _Toc32579 \h </w:instrText>
          </w:r>
          <w:r>
            <w:rPr>
              <w:rFonts w:ascii="Times New Roman" w:hAnsi="Times New Roman" w:eastAsia="仿宋_GB2312"/>
              <w:sz w:val="28"/>
            </w:rPr>
            <w:fldChar w:fldCharType="separate"/>
          </w:r>
          <w:r>
            <w:rPr>
              <w:rFonts w:ascii="Times New Roman" w:hAnsi="Times New Roman" w:eastAsia="仿宋_GB2312"/>
              <w:sz w:val="28"/>
            </w:rPr>
            <w:t>12</w:t>
          </w:r>
          <w:r>
            <w:rPr>
              <w:rFonts w:ascii="Times New Roman" w:hAnsi="Times New Roman" w:eastAsia="仿宋_GB2312"/>
              <w:sz w:val="28"/>
            </w:rPr>
            <w:fldChar w:fldCharType="end"/>
          </w:r>
          <w:r>
            <w:rPr>
              <w:rFonts w:hint="eastAsia" w:ascii="Times New Roman" w:hAnsi="Times New Roman" w:eastAsia="仿宋_GB2312"/>
              <w:sz w:val="28"/>
              <w:lang w:val="en-US" w:eastAsia="zh-CN"/>
            </w:rPr>
            <w:fldChar w:fldCharType="end"/>
          </w:r>
        </w:p>
        <w:p w14:paraId="343B8839">
          <w:pPr>
            <w:bidi w:val="0"/>
            <w:rPr>
              <w:rFonts w:hint="eastAsia" w:ascii="Times New Roman" w:hAnsi="Times New Roman" w:eastAsia="宋体" w:cstheme="minorBidi"/>
              <w:kern w:val="2"/>
              <w:sz w:val="28"/>
              <w:szCs w:val="24"/>
              <w:lang w:val="en-US" w:eastAsia="zh-CN" w:bidi="ar-SA"/>
            </w:rPr>
          </w:pPr>
          <w:r>
            <w:rPr>
              <w:rFonts w:hint="eastAsia"/>
              <w:lang w:val="en-US" w:eastAsia="zh-CN"/>
            </w:rPr>
            <w:fldChar w:fldCharType="end"/>
          </w:r>
        </w:p>
      </w:sdtContent>
    </w:sdt>
    <w:p w14:paraId="7B2DA38B">
      <w:pPr>
        <w:bidi w:val="0"/>
        <w:rPr>
          <w:rFonts w:hint="eastAsia"/>
          <w:lang w:val="en-US" w:eastAsia="zh-CN"/>
        </w:rPr>
        <w:sectPr>
          <w:pgSz w:w="11906" w:h="16839"/>
          <w:pgMar w:top="1431" w:right="1758" w:bottom="0" w:left="1785" w:header="0" w:footer="0" w:gutter="0"/>
          <w:pgBorders>
            <w:top w:val="none" w:sz="0" w:space="0"/>
            <w:left w:val="none" w:sz="0" w:space="0"/>
            <w:bottom w:val="none" w:sz="0" w:space="0"/>
            <w:right w:val="none" w:sz="0" w:space="0"/>
          </w:pgBorders>
          <w:cols w:space="720" w:num="1"/>
        </w:sectPr>
      </w:pPr>
    </w:p>
    <w:p w14:paraId="3068BC88">
      <w:pPr>
        <w:pStyle w:val="4"/>
        <w:bidi w:val="0"/>
        <w:rPr>
          <w:rFonts w:hint="default"/>
          <w:lang w:val="en-US" w:eastAsia="zh-CN"/>
        </w:rPr>
      </w:pPr>
      <w:bookmarkStart w:id="0" w:name="_Toc1484"/>
      <w:r>
        <w:rPr>
          <w:rFonts w:hint="default"/>
          <w:lang w:val="en-US" w:eastAsia="zh-CN"/>
        </w:rPr>
        <w:t>1</w:t>
      </w:r>
      <w:r>
        <w:rPr>
          <w:rFonts w:hint="eastAsia"/>
          <w:lang w:val="en-US" w:eastAsia="zh-CN"/>
        </w:rPr>
        <w:t>.</w:t>
      </w:r>
      <w:r>
        <w:rPr>
          <w:rFonts w:hint="default"/>
          <w:lang w:val="en-US" w:eastAsia="zh-CN"/>
        </w:rPr>
        <w:t>产品碳足迹（PCE）介绍</w:t>
      </w:r>
      <w:bookmarkEnd w:id="0"/>
    </w:p>
    <w:p w14:paraId="60D445D4">
      <w:pPr>
        <w:bidi w:val="0"/>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近年来，温室效应、气侯变化已成为全球关注的焦点，“碳足迹”这个新的术语越来越广泛地为全世界所使用。碳足迹通常分为项目层面、组织层面、产品层面这三个层面。产品碳足迹（ProductCarbonFootprint，PCF）是指衡量某个产品在其生命周期各阶段的温室气体排放量总和，即从原材料开采、产品生产（或务提供）、分销、使用到最终处置／再生利用等多个阶段的各种温室气体排放的累加。温室体包括一氧化碳（CO</w:t>
      </w:r>
      <w:r>
        <w:rPr>
          <w:rFonts w:hint="default" w:ascii="Times New Roman" w:hAnsi="Times New Roman" w:eastAsia="仿宋_GB2312" w:cs="Times New Roman"/>
          <w:vertAlign w:val="subscript"/>
          <w:lang w:val="en-US" w:eastAsia="zh-CN"/>
        </w:rPr>
        <w:t>2</w:t>
      </w:r>
      <w:r>
        <w:rPr>
          <w:rFonts w:hint="default" w:ascii="Times New Roman" w:hAnsi="Times New Roman" w:eastAsia="仿宋_GB2312" w:cs="Times New Roman"/>
          <w:lang w:val="en-US" w:eastAsia="zh-CN"/>
        </w:rPr>
        <w:t>）、甲烷（CH</w:t>
      </w:r>
      <w:r>
        <w:rPr>
          <w:rFonts w:hint="default" w:ascii="Times New Roman" w:hAnsi="Times New Roman" w:eastAsia="仿宋_GB2312" w:cs="Times New Roman"/>
          <w:vertAlign w:val="subscript"/>
          <w:lang w:val="en-US" w:eastAsia="zh-CN"/>
        </w:rPr>
        <w:t>4</w:t>
      </w:r>
      <w:r>
        <w:rPr>
          <w:rFonts w:hint="default" w:ascii="Times New Roman" w:hAnsi="Times New Roman" w:eastAsia="仿宋_GB2312" w:cs="Times New Roman"/>
          <w:lang w:val="en-US" w:eastAsia="zh-CN"/>
        </w:rPr>
        <w:t>）、氧化亚氮（N</w:t>
      </w:r>
      <w:r>
        <w:rPr>
          <w:rFonts w:hint="default" w:ascii="Times New Roman" w:hAnsi="Times New Roman" w:eastAsia="仿宋_GB2312" w:cs="Times New Roman"/>
          <w:vertAlign w:val="subscript"/>
          <w:lang w:val="en-US" w:eastAsia="zh-CN"/>
        </w:rPr>
        <w:t>2</w:t>
      </w:r>
      <w:r>
        <w:rPr>
          <w:rFonts w:hint="default" w:ascii="Times New Roman" w:hAnsi="Times New Roman" w:eastAsia="仿宋_GB2312" w:cs="Times New Roman"/>
          <w:lang w:val="en-US" w:eastAsia="zh-CN"/>
        </w:rPr>
        <w:t>O）、氢氟碳化物（HFO）、全氟化碳（PFC）和三化氮（NF</w:t>
      </w:r>
      <w:r>
        <w:rPr>
          <w:rFonts w:hint="default" w:ascii="Times New Roman" w:hAnsi="Times New Roman" w:eastAsia="仿宋_GB2312" w:cs="Times New Roman"/>
          <w:vertAlign w:val="subscript"/>
          <w:lang w:val="en-US" w:eastAsia="zh-CN"/>
        </w:rPr>
        <w:t>3</w:t>
      </w:r>
      <w:r>
        <w:rPr>
          <w:rFonts w:hint="default" w:ascii="Times New Roman" w:hAnsi="Times New Roman" w:eastAsia="仿宋_GB2312" w:cs="Times New Roman"/>
          <w:lang w:val="en-US" w:eastAsia="zh-CN"/>
        </w:rPr>
        <w:t>）等。产品碳足迹的计算结果为产品生命周期各种温室气体排放量的加权之和，用二氧化碳当量（CO</w:t>
      </w:r>
      <w:r>
        <w:rPr>
          <w:rFonts w:hint="default" w:ascii="Times New Roman" w:hAnsi="Times New Roman" w:eastAsia="仿宋_GB2312" w:cs="Times New Roman"/>
          <w:vertAlign w:val="subscript"/>
          <w:lang w:val="en-US" w:eastAsia="zh-CN"/>
        </w:rPr>
        <w:t>2</w:t>
      </w:r>
      <w:r>
        <w:rPr>
          <w:rFonts w:hint="default" w:ascii="Times New Roman" w:hAnsi="Times New Roman" w:eastAsia="仿宋_GB2312" w:cs="Times New Roman"/>
          <w:lang w:val="en-US" w:eastAsia="zh-CN"/>
        </w:rPr>
        <w:t>e）表示、单位为kgCO</w:t>
      </w:r>
      <w:r>
        <w:rPr>
          <w:rFonts w:hint="default" w:ascii="Times New Roman" w:hAnsi="Times New Roman" w:eastAsia="仿宋_GB2312" w:cs="Times New Roman"/>
          <w:vertAlign w:val="subscript"/>
          <w:lang w:val="en-US" w:eastAsia="zh-CN"/>
        </w:rPr>
        <w:t>2</w:t>
      </w:r>
      <w:r>
        <w:rPr>
          <w:rFonts w:hint="default" w:ascii="Times New Roman" w:hAnsi="Times New Roman" w:eastAsia="仿宋_GB2312" w:cs="Times New Roman"/>
          <w:lang w:val="en-US" w:eastAsia="zh-CN"/>
        </w:rPr>
        <w:t>e或者gCO</w:t>
      </w:r>
      <w:r>
        <w:rPr>
          <w:rFonts w:hint="default" w:ascii="Times New Roman" w:hAnsi="Times New Roman" w:eastAsia="仿宋_GB2312" w:cs="Times New Roman"/>
          <w:vertAlign w:val="subscript"/>
          <w:lang w:val="en-US" w:eastAsia="zh-CN"/>
        </w:rPr>
        <w:t>2</w:t>
      </w:r>
      <w:r>
        <w:rPr>
          <w:rFonts w:hint="default" w:ascii="Times New Roman" w:hAnsi="Times New Roman" w:eastAsia="仿宋_GB2312" w:cs="Times New Roman"/>
          <w:lang w:val="en-US" w:eastAsia="zh-CN"/>
        </w:rPr>
        <w:t>e。全球变暖潜值（GlobalWarmingPotential．向称GWP），即各种温室气体的二氧化碳当量值，通常采用联合国政府间气候变化专家委员会（IPCC）提供的值，目前这套因子被全球范围广泛使用。</w:t>
      </w:r>
    </w:p>
    <w:p w14:paraId="4F1353F3">
      <w:pPr>
        <w:bidi w:val="0"/>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产品碳足迹计算只包含一个完整生命周期评估（LCA）的温室气体的部分。基于LCA的评价方法，国际上已建立起多种碳足迹评估指南和要求，用于产品碳足迹认证，目前广泛使用的碳足迹评估标准有三种：</w:t>
      </w:r>
    </w:p>
    <w:p w14:paraId="1CE7FF4C">
      <w:pPr>
        <w:bidi w:val="0"/>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1）《PAS2050：2011商品和服务在生命周期内的温室气体排放评价规范》，此标准是由英国标准协会（BSI）与碳信托公司（CarbonTrust）、英国食品和乡村事务部（Defra）联合发布，是国际上最早的、具有具体计算方法的标准，也是目前使用较多的产品碳足迹评价标准；</w:t>
      </w:r>
    </w:p>
    <w:p w14:paraId="331EC840">
      <w:pPr>
        <w:bidi w:val="0"/>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2）《温室气体核算体系：产品寿命周期核算与报告标准》，此标准是由世界资源研究所（WorldResourcesInstitute，简称VRI）和世界可持续发展工商理事会（WorldBusinessCouncilforSustainableDevelopment，简称WBCSD）发布的产品和供应链标准；</w:t>
      </w:r>
    </w:p>
    <w:p w14:paraId="59A846C5">
      <w:pPr>
        <w:bidi w:val="0"/>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（3）（ISO/TS14067：2013温室气体——产品碳足迹——量化和信息交流的要求与指南》，此标准以PAS2050为种子文件，由国际标准化组织（ISO）编制发布。</w:t>
      </w:r>
    </w:p>
    <w:p w14:paraId="2BB639F9">
      <w:pPr>
        <w:bidi w:val="0"/>
        <w:rPr>
          <w:rFonts w:hint="default"/>
          <w:lang w:val="en-US" w:eastAsia="zh-CN"/>
        </w:rPr>
      </w:pPr>
      <w:r>
        <w:rPr>
          <w:rFonts w:hint="default" w:ascii="Times New Roman" w:hAnsi="Times New Roman" w:eastAsia="仿宋_GB2312" w:cs="Times New Roman"/>
          <w:lang w:val="en-US" w:eastAsia="zh-CN"/>
        </w:rPr>
        <w:t>2018年8月国际标准化组织（ISO）发布了《ISO14067：2018温室气体-产品碳足迹-量化要求及指南》，该标准取代了技术规范ISO/TS14067：2013，同时，ISO14067:2018也升级到国际标准状态。ISO14067:2018是一项国际公认的用于量化产品碳足迹的ISO标准。标准规定了量化和报告产品碳足迹（CFP）的原则、要求和指南，其方式与国际生命周期评估（LCA）标准（ISO14040和ISO14044）一致。为企业界评估产品碳排放提供了统一的规范，是有效推动绿色商品或服务评价的工具。产品碳足迹核算标准的出现目的是建立一个一致的、国际间认可的评估产品碳足迹的方法。</w:t>
      </w:r>
    </w:p>
    <w:p w14:paraId="7A08446C">
      <w:pPr>
        <w:bidi w:val="0"/>
        <w:rPr>
          <w:rFonts w:hint="default"/>
          <w:lang w:val="en-US" w:eastAsia="zh-CN"/>
        </w:rPr>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p>
    <w:p w14:paraId="148D10ED">
      <w:pPr>
        <w:pStyle w:val="4"/>
        <w:bidi w:val="0"/>
        <w:rPr>
          <w:rFonts w:hint="default"/>
          <w:lang w:val="en-US" w:eastAsia="zh-CN"/>
        </w:rPr>
      </w:pPr>
      <w:bookmarkStart w:id="1" w:name="_Toc3306"/>
      <w:r>
        <w:rPr>
          <w:rFonts w:hint="default"/>
          <w:lang w:val="en-US" w:eastAsia="zh-CN"/>
        </w:rPr>
        <w:t>2</w:t>
      </w:r>
      <w:r>
        <w:rPr>
          <w:rFonts w:hint="eastAsia"/>
          <w:lang w:val="en-US" w:eastAsia="zh-CN"/>
        </w:rPr>
        <w:t>.</w:t>
      </w:r>
      <w:r>
        <w:rPr>
          <w:rFonts w:hint="default"/>
          <w:lang w:val="en-US" w:eastAsia="zh-CN"/>
        </w:rPr>
        <w:t>目标与范围定义</w:t>
      </w:r>
      <w:bookmarkEnd w:id="1"/>
    </w:p>
    <w:p w14:paraId="7F6080D8">
      <w:pPr>
        <w:pStyle w:val="5"/>
        <w:bidi w:val="0"/>
        <w:rPr>
          <w:rFonts w:hint="default" w:ascii="Times New Roman" w:hAnsi="Times New Roman" w:eastAsia="仿宋_GB2312" w:cs="Times New Roman"/>
          <w:lang w:val="en-US" w:eastAsia="zh-CN"/>
        </w:rPr>
      </w:pPr>
      <w:bookmarkStart w:id="2" w:name="_Toc22444"/>
      <w:r>
        <w:rPr>
          <w:rFonts w:hint="default" w:ascii="Times New Roman" w:hAnsi="Times New Roman" w:eastAsia="仿宋_GB2312" w:cs="Times New Roman"/>
          <w:lang w:val="en-US" w:eastAsia="zh-CN"/>
        </w:rPr>
        <w:t>2.1企业及其产品介绍</w:t>
      </w:r>
      <w:bookmarkEnd w:id="2"/>
    </w:p>
    <w:p w14:paraId="20142328">
      <w:pPr>
        <w:bidi w:val="0"/>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安徽汉马发动机有限公司，于2</w:t>
      </w:r>
      <w:r>
        <w:rPr>
          <w:rFonts w:hint="default" w:ascii="Times New Roman" w:hAnsi="Times New Roman" w:eastAsia="仿宋_GB2312" w:cs="Times New Roman"/>
          <w:lang w:val="en-US" w:eastAsia="zh-CN"/>
        </w:rPr>
        <w:t>023</w:t>
      </w:r>
      <w:r>
        <w:rPr>
          <w:rFonts w:hint="eastAsia" w:ascii="Times New Roman" w:hAnsi="Times New Roman" w:eastAsia="仿宋_GB2312" w:cs="Times New Roman"/>
          <w:lang w:val="en-US" w:eastAsia="zh-CN"/>
        </w:rPr>
        <w:t>年9月2</w:t>
      </w:r>
      <w:r>
        <w:rPr>
          <w:rFonts w:hint="default" w:ascii="Times New Roman" w:hAnsi="Times New Roman" w:eastAsia="仿宋_GB2312" w:cs="Times New Roman"/>
          <w:lang w:val="en-US" w:eastAsia="zh-CN"/>
        </w:rPr>
        <w:t>2</w:t>
      </w:r>
      <w:r>
        <w:rPr>
          <w:rFonts w:hint="eastAsia" w:ascii="Times New Roman" w:hAnsi="Times New Roman" w:eastAsia="仿宋_GB2312" w:cs="Times New Roman"/>
          <w:lang w:val="en-US" w:eastAsia="zh-CN"/>
        </w:rPr>
        <w:t>日注册成立，注册资本4</w:t>
      </w:r>
      <w:r>
        <w:rPr>
          <w:rFonts w:hint="default" w:ascii="Times New Roman" w:hAnsi="Times New Roman" w:eastAsia="仿宋_GB2312" w:cs="Times New Roman"/>
          <w:lang w:val="en-US" w:eastAsia="zh-CN"/>
        </w:rPr>
        <w:t>600</w:t>
      </w:r>
      <w:r>
        <w:rPr>
          <w:rFonts w:hint="eastAsia" w:ascii="Times New Roman" w:hAnsi="Times New Roman" w:eastAsia="仿宋_GB2312" w:cs="Times New Roman"/>
          <w:lang w:val="en-US" w:eastAsia="zh-CN"/>
        </w:rPr>
        <w:t>万元，公司位于安徽省马鞍山市经济技术开发区，其前身是安徽华菱汽车有限公司发动机分公司，于2013年1月17日注册成立，是国内重要的发动机生产研发基地，国家级“制造业与互联网融合发展工业大数据服务平台试点示范企业”，国家级“智能工厂新模式应用企业”，是国家倡导发展自主品牌、坚持自主创新的典范。</w:t>
      </w:r>
    </w:p>
    <w:p w14:paraId="3597ACE9">
      <w:pPr>
        <w:bidi w:val="0"/>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公司已通过GB/T</w:t>
      </w:r>
      <w:r>
        <w:rPr>
          <w:rFonts w:hint="eastAsia" w:ascii="Times New Roman" w:hAnsi="Times New Roman" w:eastAsia="仿宋_GB2312" w:cs="Times New Roman"/>
          <w:lang w:val="en-US" w:eastAsia="zh-CN"/>
        </w:rPr>
        <w:t xml:space="preserve"> </w:t>
      </w:r>
      <w:r>
        <w:rPr>
          <w:rFonts w:hint="default" w:ascii="Times New Roman" w:hAnsi="Times New Roman" w:eastAsia="仿宋_GB2312" w:cs="Times New Roman"/>
          <w:lang w:val="en-US" w:eastAsia="zh-CN"/>
        </w:rPr>
        <w:t>19001-2016/ISO</w:t>
      </w:r>
      <w:r>
        <w:rPr>
          <w:rFonts w:hint="eastAsia" w:ascii="Times New Roman" w:hAnsi="Times New Roman" w:eastAsia="仿宋_GB2312" w:cs="Times New Roman"/>
          <w:lang w:val="en-US" w:eastAsia="zh-CN"/>
        </w:rPr>
        <w:t xml:space="preserve"> </w:t>
      </w:r>
      <w:r>
        <w:rPr>
          <w:rFonts w:hint="default" w:ascii="Times New Roman" w:hAnsi="Times New Roman" w:eastAsia="仿宋_GB2312" w:cs="Times New Roman"/>
          <w:lang w:val="en-US" w:eastAsia="zh-CN"/>
        </w:rPr>
        <w:t>9001:2015质量管理体系认证</w:t>
      </w:r>
      <w:r>
        <w:rPr>
          <w:rFonts w:hint="eastAsia" w:ascii="Times New Roman" w:hAnsi="Times New Roman" w:eastAsia="仿宋_GB2312" w:cs="Times New Roman"/>
          <w:lang w:val="en-US" w:eastAsia="zh-CN"/>
        </w:rPr>
        <w:t>，GB/T 45001-2020/IS0 45001:2018职业健康安全管理体系认证，GB/T 24001-2016/IS0 14001:2015环境管理体系认证以</w:t>
      </w:r>
      <w:r>
        <w:rPr>
          <w:rFonts w:hint="default" w:ascii="Times New Roman" w:hAnsi="Times New Roman" w:eastAsia="仿宋_GB2312" w:cs="Times New Roman"/>
          <w:lang w:val="en-US" w:eastAsia="zh-CN"/>
        </w:rPr>
        <w:t>及</w:t>
      </w:r>
      <w:r>
        <w:rPr>
          <w:rFonts w:hint="eastAsia" w:ascii="Times New Roman" w:hAnsi="Times New Roman" w:eastAsia="仿宋_GB2312" w:cs="Times New Roman"/>
          <w:lang w:val="en-US" w:eastAsia="zh-CN"/>
        </w:rPr>
        <w:t>GB/T 23331-2020/IS0 50001:2018能源管理体系认证</w:t>
      </w:r>
      <w:r>
        <w:rPr>
          <w:rFonts w:hint="default" w:ascii="Times New Roman" w:hAnsi="Times New Roman" w:eastAsia="仿宋_GB2312" w:cs="Times New Roman"/>
          <w:lang w:val="en-US" w:eastAsia="zh-CN"/>
        </w:rPr>
        <w:t>。严格管理和控制整个制程，提供品质稳定的产品。</w:t>
      </w:r>
    </w:p>
    <w:p w14:paraId="334BBC41">
      <w:pPr>
        <w:bidi w:val="0"/>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公司的工艺流程为：</w:t>
      </w:r>
      <w:r>
        <w:rPr>
          <w:rFonts w:hint="eastAsia" w:eastAsia="仿宋_GB2312" w:cs="Times New Roman"/>
          <w:lang w:val="en-US" w:eastAsia="zh-CN"/>
        </w:rPr>
        <w:t>机加工</w:t>
      </w:r>
      <w:r>
        <w:rPr>
          <w:rFonts w:hint="default" w:ascii="Times New Roman" w:hAnsi="Times New Roman" w:eastAsia="仿宋_GB2312" w:cs="Times New Roman"/>
          <w:lang w:val="en-US" w:eastAsia="zh-CN"/>
        </w:rPr>
        <w:t>→</w:t>
      </w:r>
      <w:r>
        <w:rPr>
          <w:rFonts w:hint="eastAsia" w:eastAsia="仿宋_GB2312" w:cs="Times New Roman"/>
          <w:lang w:val="en-US" w:eastAsia="zh-CN"/>
        </w:rPr>
        <w:t>装配</w:t>
      </w:r>
      <w:r>
        <w:rPr>
          <w:rFonts w:hint="default" w:ascii="Times New Roman" w:hAnsi="Times New Roman" w:eastAsia="仿宋_GB2312" w:cs="Times New Roman"/>
          <w:lang w:val="en-US" w:eastAsia="zh-CN"/>
        </w:rPr>
        <w:t>→</w:t>
      </w:r>
      <w:r>
        <w:rPr>
          <w:rFonts w:hint="eastAsia" w:eastAsia="仿宋_GB2312" w:cs="Times New Roman"/>
          <w:lang w:val="en-US" w:eastAsia="zh-CN"/>
        </w:rPr>
        <w:t>试车</w:t>
      </w:r>
      <w:r>
        <w:rPr>
          <w:rFonts w:hint="default" w:ascii="Times New Roman" w:hAnsi="Times New Roman" w:eastAsia="仿宋_GB2312" w:cs="Times New Roman"/>
          <w:lang w:val="en-US" w:eastAsia="zh-CN"/>
        </w:rPr>
        <w:t>→</w:t>
      </w:r>
      <w:r>
        <w:rPr>
          <w:rFonts w:hint="eastAsia" w:eastAsia="仿宋_GB2312" w:cs="Times New Roman"/>
          <w:lang w:val="en-US" w:eastAsia="zh-CN"/>
        </w:rPr>
        <w:t>涂装</w:t>
      </w:r>
      <w:r>
        <w:rPr>
          <w:rFonts w:hint="default" w:ascii="Times New Roman" w:hAnsi="Times New Roman" w:eastAsia="仿宋_GB2312" w:cs="Times New Roman"/>
          <w:lang w:val="en-US" w:eastAsia="zh-CN"/>
        </w:rPr>
        <w:t>。公司拥有完善的加工工序、先进的加工设备、优秀的管理团队及生产、技术人员，采取相互协作、资源互补的作业模式。产品在公司内从设计、制造、检测、交付的一条龙作业，以减少沟通和产品运输上的难度，最大限度地满足客户需求。</w:t>
      </w:r>
    </w:p>
    <w:p w14:paraId="4863EAB9">
      <w:pPr>
        <w:bidi w:val="0"/>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产品类别：</w:t>
      </w:r>
      <w:r>
        <w:rPr>
          <w:rFonts w:hint="eastAsia" w:eastAsia="仿宋_GB2312" w:cs="Times New Roman"/>
          <w:lang w:val="en-US" w:eastAsia="zh-CN"/>
        </w:rPr>
        <w:t>甲醇系列发动机</w:t>
      </w:r>
      <w:r>
        <w:rPr>
          <w:rFonts w:hint="default" w:ascii="Times New Roman" w:hAnsi="Times New Roman" w:eastAsia="仿宋_GB2312" w:cs="Times New Roman"/>
          <w:lang w:val="en-US" w:eastAsia="zh-CN"/>
        </w:rPr>
        <w:t xml:space="preserve">  形状与形态：</w:t>
      </w:r>
      <w:r>
        <w:rPr>
          <w:rFonts w:hint="eastAsia" w:eastAsia="仿宋_GB2312" w:cs="Times New Roman"/>
          <w:lang w:val="en-US" w:eastAsia="zh-CN"/>
        </w:rPr>
        <w:t>台</w:t>
      </w:r>
    </w:p>
    <w:p w14:paraId="23BB3D60">
      <w:pPr>
        <w:pStyle w:val="5"/>
        <w:bidi w:val="0"/>
        <w:rPr>
          <w:rFonts w:hint="default" w:ascii="Times New Roman" w:hAnsi="Times New Roman" w:eastAsia="仿宋_GB2312" w:cs="Times New Roman"/>
          <w:lang w:val="en-US" w:eastAsia="zh-CN"/>
        </w:rPr>
      </w:pPr>
      <w:bookmarkStart w:id="3" w:name="_Toc6149"/>
      <w:r>
        <w:rPr>
          <w:rFonts w:hint="default" w:ascii="Times New Roman" w:hAnsi="Times New Roman" w:eastAsia="仿宋_GB2312" w:cs="Times New Roman"/>
          <w:lang w:val="en-US" w:eastAsia="zh-CN"/>
        </w:rPr>
        <w:t>2.2研究目的</w:t>
      </w:r>
      <w:bookmarkEnd w:id="3"/>
    </w:p>
    <w:p w14:paraId="1A7D7EE2">
      <w:pPr>
        <w:bidi w:val="0"/>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本研究的目的是得到</w:t>
      </w:r>
      <w:r>
        <w:rPr>
          <w:rFonts w:hint="eastAsia" w:eastAsia="仿宋_GB2312" w:cs="Times New Roman"/>
          <w:lang w:val="en-US" w:eastAsia="zh-CN"/>
        </w:rPr>
        <w:t>安徽汉马发动机有限公司</w:t>
      </w:r>
      <w:r>
        <w:rPr>
          <w:rFonts w:hint="default" w:ascii="Times New Roman" w:hAnsi="Times New Roman" w:eastAsia="仿宋_GB2312" w:cs="Times New Roman"/>
          <w:lang w:val="en-US" w:eastAsia="zh-CN"/>
        </w:rPr>
        <w:t>消耗</w:t>
      </w:r>
      <w:r>
        <w:rPr>
          <w:rFonts w:hint="eastAsia" w:eastAsia="仿宋_GB2312" w:cs="Times New Roman"/>
          <w:lang w:val="en-US" w:eastAsia="zh-CN"/>
        </w:rPr>
        <w:t>1台甲醇系列发动机</w:t>
      </w:r>
      <w:r>
        <w:rPr>
          <w:rFonts w:hint="default" w:ascii="Times New Roman" w:hAnsi="Times New Roman" w:eastAsia="仿宋_GB2312" w:cs="Times New Roman"/>
          <w:lang w:val="en-US" w:eastAsia="zh-CN"/>
        </w:rPr>
        <w:t>生命周期过程的碳足迹，其研究结果有利于公司了解产品在生命周期内各阶段的碳排放情况，掌握温室气体排放途径及排放量，并帮助企业发掘减排潜力，有利于低碳管理、节能降耗，节约生产成本。同时响应国家绿色制造政策，履行社会责任的体现，为产品采购商和第三方有效沟通提供良好的数据基础。有助于产品生产、企业品牌价值的提升。</w:t>
      </w:r>
    </w:p>
    <w:p w14:paraId="36F799C7">
      <w:pPr>
        <w:pStyle w:val="5"/>
        <w:bidi w:val="0"/>
        <w:rPr>
          <w:rFonts w:hint="default" w:ascii="Times New Roman" w:hAnsi="Times New Roman" w:eastAsia="仿宋_GB2312" w:cs="Times New Roman"/>
          <w:lang w:val="en-US" w:eastAsia="zh-CN"/>
        </w:rPr>
      </w:pPr>
      <w:bookmarkStart w:id="4" w:name="_Toc29265"/>
      <w:r>
        <w:rPr>
          <w:rFonts w:hint="default" w:ascii="Times New Roman" w:hAnsi="Times New Roman" w:eastAsia="仿宋_GB2312" w:cs="Times New Roman"/>
          <w:lang w:val="en-US" w:eastAsia="zh-CN"/>
        </w:rPr>
        <w:t>2.3功能单位与基准流</w:t>
      </w:r>
      <w:bookmarkEnd w:id="4"/>
    </w:p>
    <w:p w14:paraId="7832ED9A">
      <w:pPr>
        <w:bidi w:val="0"/>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本报告以</w:t>
      </w:r>
      <w:r>
        <w:rPr>
          <w:rFonts w:hint="eastAsia" w:eastAsia="仿宋_GB2312" w:cs="Times New Roman"/>
          <w:lang w:val="en-US" w:eastAsia="zh-CN"/>
        </w:rPr>
        <w:t>1台甲醇系列发动机</w:t>
      </w:r>
      <w:r>
        <w:rPr>
          <w:rFonts w:hint="default" w:ascii="Times New Roman" w:hAnsi="Times New Roman" w:eastAsia="仿宋_GB2312" w:cs="Times New Roman"/>
          <w:lang w:val="en-US" w:eastAsia="zh-CN"/>
        </w:rPr>
        <w:t>为功能单位。</w:t>
      </w:r>
    </w:p>
    <w:p w14:paraId="07674A52">
      <w:pPr>
        <w:pStyle w:val="5"/>
        <w:bidi w:val="0"/>
        <w:rPr>
          <w:rFonts w:hint="default" w:ascii="Times New Roman" w:hAnsi="Times New Roman" w:eastAsia="仿宋_GB2312" w:cs="Times New Roman"/>
          <w:lang w:val="en-US" w:eastAsia="zh-CN"/>
        </w:rPr>
      </w:pPr>
      <w:bookmarkStart w:id="5" w:name="_Toc22997"/>
      <w:r>
        <w:rPr>
          <w:rFonts w:hint="default" w:ascii="Times New Roman" w:hAnsi="Times New Roman" w:eastAsia="仿宋_GB2312" w:cs="Times New Roman"/>
          <w:lang w:val="en-US" w:eastAsia="zh-CN"/>
        </w:rPr>
        <w:t>2.4碳足迹范围描述</w:t>
      </w:r>
      <w:bookmarkEnd w:id="5"/>
    </w:p>
    <w:p w14:paraId="60CD18C4">
      <w:pPr>
        <w:bidi w:val="0"/>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本报告核查的温室气体种类包含IPCC第5次评估报告中所列的温室气体，如二氧化碳（CO</w:t>
      </w:r>
      <w:r>
        <w:rPr>
          <w:rFonts w:hint="default" w:ascii="Times New Roman" w:hAnsi="Times New Roman" w:eastAsia="仿宋_GB2312" w:cs="Times New Roman"/>
          <w:vertAlign w:val="subscript"/>
          <w:lang w:val="en-US" w:eastAsia="zh-CN"/>
        </w:rPr>
        <w:t>2</w:t>
      </w:r>
      <w:r>
        <w:rPr>
          <w:rFonts w:hint="default" w:ascii="Times New Roman" w:hAnsi="Times New Roman" w:eastAsia="仿宋_GB2312" w:cs="Times New Roman"/>
          <w:lang w:val="en-US" w:eastAsia="zh-CN"/>
        </w:rPr>
        <w:t>）、臭氧（O</w:t>
      </w:r>
      <w:r>
        <w:rPr>
          <w:rFonts w:hint="default" w:ascii="Times New Roman" w:hAnsi="Times New Roman" w:eastAsia="仿宋_GB2312" w:cs="Times New Roman"/>
          <w:vertAlign w:val="subscript"/>
          <w:lang w:val="en-US" w:eastAsia="zh-CN"/>
        </w:rPr>
        <w:t>3</w:t>
      </w:r>
      <w:r>
        <w:rPr>
          <w:rFonts w:hint="default" w:ascii="Times New Roman" w:hAnsi="Times New Roman" w:eastAsia="仿宋_GB2312" w:cs="Times New Roman"/>
          <w:lang w:val="en-US" w:eastAsia="zh-CN"/>
        </w:rPr>
        <w:t>）、氧化亚氮（N</w:t>
      </w:r>
      <w:r>
        <w:rPr>
          <w:rFonts w:hint="default" w:ascii="Times New Roman" w:hAnsi="Times New Roman" w:eastAsia="仿宋_GB2312" w:cs="Times New Roman"/>
          <w:vertAlign w:val="subscript"/>
          <w:lang w:val="en-US" w:eastAsia="zh-CN"/>
        </w:rPr>
        <w:t>2</w:t>
      </w:r>
      <w:r>
        <w:rPr>
          <w:rFonts w:hint="default" w:ascii="Times New Roman" w:hAnsi="Times New Roman" w:eastAsia="仿宋_GB2312" w:cs="Times New Roman"/>
          <w:lang w:val="en-US" w:eastAsia="zh-CN"/>
        </w:rPr>
        <w:t>O）、甲烷（CH</w:t>
      </w:r>
      <w:r>
        <w:rPr>
          <w:rFonts w:hint="default" w:ascii="Times New Roman" w:hAnsi="Times New Roman" w:eastAsia="仿宋_GB2312" w:cs="Times New Roman"/>
          <w:vertAlign w:val="subscript"/>
          <w:lang w:val="en-US" w:eastAsia="zh-CN"/>
        </w:rPr>
        <w:t>4</w:t>
      </w:r>
      <w:r>
        <w:rPr>
          <w:rFonts w:hint="default" w:ascii="Times New Roman" w:hAnsi="Times New Roman" w:eastAsia="仿宋_GB2312" w:cs="Times New Roman"/>
          <w:lang w:val="en-US" w:eastAsia="zh-CN"/>
        </w:rPr>
        <w:t>）、氢氟氯碳化物类（CFCs，HFCs，HCFCs）、全氟碳化物（PFCs）及六氟化硫（SF</w:t>
      </w:r>
      <w:r>
        <w:rPr>
          <w:rFonts w:hint="default" w:ascii="Times New Roman" w:hAnsi="Times New Roman" w:eastAsia="仿宋_GB2312" w:cs="Times New Roman"/>
          <w:vertAlign w:val="subscript"/>
          <w:lang w:val="en-US" w:eastAsia="zh-CN"/>
        </w:rPr>
        <w:t>6</w:t>
      </w:r>
      <w:r>
        <w:rPr>
          <w:rFonts w:hint="default" w:ascii="Times New Roman" w:hAnsi="Times New Roman" w:eastAsia="仿宋_GB2312" w:cs="Times New Roman"/>
          <w:lang w:val="en-US" w:eastAsia="zh-CN"/>
        </w:rPr>
        <w:t>）等，并且采用了IPCC第五次评估报告（2013年）提出的方法来计算产品生产周期的GWP值。</w:t>
      </w:r>
    </w:p>
    <w:p w14:paraId="68721F4B">
      <w:pPr>
        <w:bidi w:val="0"/>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为方便轻量化，将碳足迹的计算定义为消耗</w:t>
      </w:r>
      <w:r>
        <w:rPr>
          <w:rFonts w:hint="eastAsia" w:eastAsia="仿宋_GB2312" w:cs="Times New Roman"/>
          <w:lang w:val="en-US" w:eastAsia="zh-CN"/>
        </w:rPr>
        <w:t>1台甲醇系列发动机</w:t>
      </w:r>
      <w:r>
        <w:rPr>
          <w:rFonts w:hint="default" w:ascii="Times New Roman" w:hAnsi="Times New Roman" w:eastAsia="仿宋_GB2312" w:cs="Times New Roman"/>
          <w:lang w:val="en-US" w:eastAsia="zh-CN"/>
        </w:rPr>
        <w:t>所产生的碳足迹。</w:t>
      </w:r>
    </w:p>
    <w:p w14:paraId="76632350">
      <w:pPr>
        <w:bidi w:val="0"/>
        <w:rPr>
          <w:rFonts w:hint="default" w:ascii="Times New Roman" w:hAnsi="Times New Roman" w:eastAsia="仿宋_GB2312" w:cs="Times New Roman"/>
          <w:lang w:val="en-US" w:eastAsia="zh-CN"/>
        </w:rPr>
      </w:pPr>
      <w:r>
        <w:rPr>
          <w:rFonts w:hint="default" w:ascii="Times New Roman" w:hAnsi="Times New Roman" w:eastAsia="仿宋_GB2312" w:cs="Times New Roman"/>
          <w:color w:val="000000" w:themeColor="text1"/>
          <w:lang w:val="en-US" w:eastAsia="zh-CN"/>
          <w14:textFill>
            <w14:solidFill>
              <w14:schemeClr w14:val="tx1"/>
            </w14:solidFill>
          </w14:textFill>
        </w:rPr>
        <w:t>核查周期：20</w:t>
      </w:r>
      <w:r>
        <w:rPr>
          <w:rFonts w:hint="default" w:ascii="Times New Roman" w:hAnsi="Times New Roman" w:eastAsia="仿宋_GB2312" w:cs="Times New Roman"/>
          <w:lang w:val="en-US" w:eastAsia="zh-CN"/>
        </w:rPr>
        <w:t>24年1月1日-2024年12月31日。</w:t>
      </w:r>
    </w:p>
    <w:p w14:paraId="45C547C4">
      <w:pPr>
        <w:bidi w:val="0"/>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核查地点：</w:t>
      </w:r>
      <w:r>
        <w:rPr>
          <w:rFonts w:hint="eastAsia" w:ascii="Times New Roman" w:hAnsi="Times New Roman" w:eastAsia="仿宋_GB2312" w:cs="Times New Roman"/>
          <w:lang w:val="en-US" w:eastAsia="zh-CN"/>
        </w:rPr>
        <w:t>安徽汉马发动机有限公司</w:t>
      </w:r>
      <w:r>
        <w:rPr>
          <w:rFonts w:hint="default" w:ascii="Times New Roman" w:hAnsi="Times New Roman" w:eastAsia="仿宋_GB2312" w:cs="Times New Roman"/>
          <w:lang w:val="en-US" w:eastAsia="zh-CN"/>
        </w:rPr>
        <w:t>（地址：</w:t>
      </w:r>
      <w:r>
        <w:rPr>
          <w:rFonts w:hint="eastAsia" w:ascii="Times New Roman" w:hAnsi="Times New Roman" w:eastAsia="仿宋_GB2312" w:cs="Times New Roman"/>
          <w:lang w:val="en-US" w:eastAsia="zh-CN"/>
        </w:rPr>
        <w:t>安徽省马鞍山市经济技术开发区湖西南路</w:t>
      </w:r>
      <w:r>
        <w:rPr>
          <w:rFonts w:hint="default" w:ascii="Times New Roman" w:hAnsi="Times New Roman" w:eastAsia="仿宋_GB2312" w:cs="Times New Roman"/>
          <w:lang w:val="en-US" w:eastAsia="zh-CN"/>
        </w:rPr>
        <w:t>359</w:t>
      </w:r>
      <w:r>
        <w:rPr>
          <w:rFonts w:hint="eastAsia" w:ascii="Times New Roman" w:hAnsi="Times New Roman" w:eastAsia="仿宋_GB2312" w:cs="Times New Roman"/>
          <w:lang w:val="en-US" w:eastAsia="zh-CN"/>
        </w:rPr>
        <w:t>号</w:t>
      </w:r>
      <w:r>
        <w:rPr>
          <w:rFonts w:hint="default" w:ascii="Times New Roman" w:hAnsi="Times New Roman" w:eastAsia="仿宋_GB2312" w:cs="Times New Roman"/>
          <w:lang w:val="en-US" w:eastAsia="zh-CN"/>
        </w:rPr>
        <w:t>）。</w:t>
      </w:r>
    </w:p>
    <w:p w14:paraId="671294ED">
      <w:pPr>
        <w:pStyle w:val="5"/>
        <w:bidi w:val="0"/>
        <w:rPr>
          <w:rFonts w:hint="default" w:ascii="Times New Roman" w:hAnsi="Times New Roman" w:eastAsia="仿宋_GB2312" w:cs="Times New Roman"/>
          <w:lang w:val="en-US" w:eastAsia="zh-CN"/>
        </w:rPr>
      </w:pPr>
      <w:bookmarkStart w:id="6" w:name="_Toc9917"/>
      <w:r>
        <w:rPr>
          <w:rFonts w:hint="default" w:ascii="Times New Roman" w:hAnsi="Times New Roman" w:eastAsia="仿宋_GB2312" w:cs="Times New Roman"/>
          <w:lang w:val="en-US" w:eastAsia="zh-CN"/>
        </w:rPr>
        <w:t>2.5系统边界</w:t>
      </w:r>
      <w:bookmarkEnd w:id="6"/>
    </w:p>
    <w:p w14:paraId="37651A9C">
      <w:pPr>
        <w:bidi w:val="0"/>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本研究的系统边界为“从摇篮到大门”类型，从生命周期-生产阶段（从资源开采到产品出厂），详见下图。</w:t>
      </w:r>
    </w:p>
    <w:p w14:paraId="2627467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textAlignment w:val="auto"/>
        <w:rPr>
          <w:position w:val="-78"/>
        </w:rPr>
      </w:pPr>
      <w:r>
        <w:rPr>
          <w:position w:val="-78"/>
        </w:rPr>
        <w:drawing>
          <wp:inline distT="0" distB="0" distL="0" distR="0">
            <wp:extent cx="5287645" cy="2154555"/>
            <wp:effectExtent l="0" t="0" r="8255" b="17145"/>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8"/>
                    <a:stretch>
                      <a:fillRect/>
                    </a:stretch>
                  </pic:blipFill>
                  <pic:spPr>
                    <a:xfrm>
                      <a:off x="0" y="0"/>
                      <a:ext cx="5287645" cy="2154555"/>
                    </a:xfrm>
                    <a:prstGeom prst="rect">
                      <a:avLst/>
                    </a:prstGeom>
                  </pic:spPr>
                </pic:pic>
              </a:graphicData>
            </a:graphic>
          </wp:inline>
        </w:drawing>
      </w:r>
    </w:p>
    <w:p w14:paraId="24F6411A">
      <w:pPr>
        <w:bidi w:val="0"/>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根据公司的实际情况，在本次产品碳足迹核查过程中使用PAS2050作为评估标准，盘查边界可分为B2B（Business-to-Business）和B2C（Business-to-Consumer）两种。本次盘查的系统边界属“从摇篮到大门”的类型，为实现上述功能单位，产品生产制造的系统边界如上图（虚线边框中的过程不在温室气体排放计算内）。</w:t>
      </w:r>
    </w:p>
    <w:p w14:paraId="62D51087">
      <w:pPr>
        <w:pStyle w:val="5"/>
        <w:bidi w:val="0"/>
        <w:rPr>
          <w:rFonts w:hint="default" w:ascii="Times New Roman" w:hAnsi="Times New Roman" w:eastAsia="仿宋_GB2312" w:cs="Times New Roman"/>
          <w:lang w:val="en-US" w:eastAsia="zh-CN"/>
        </w:rPr>
      </w:pPr>
      <w:bookmarkStart w:id="7" w:name="_Toc16798"/>
      <w:r>
        <w:rPr>
          <w:rFonts w:hint="default" w:ascii="Times New Roman" w:hAnsi="Times New Roman" w:eastAsia="仿宋_GB2312" w:cs="Times New Roman"/>
          <w:lang w:val="en-US" w:eastAsia="zh-CN"/>
        </w:rPr>
        <w:t>2.6数据取舍原则</w:t>
      </w:r>
      <w:bookmarkEnd w:id="7"/>
    </w:p>
    <w:p w14:paraId="05D7A900">
      <w:pPr>
        <w:bidi w:val="0"/>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本研究采用的取舍规则以各项原材料投入占产品重量或过程总投入的重量比为依据。具体规则如下:</w:t>
      </w:r>
    </w:p>
    <w:p w14:paraId="25515FFE">
      <w:pPr>
        <w:bidi w:val="0"/>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●普通物料重量&lt;1%产品重量时，以及含稀贵或高纯成分的物料重量&lt;0.1%产品重量时，可忽略该物料的上游生产数据；总共忽略的物料重量不超过5%；</w:t>
      </w:r>
    </w:p>
    <w:p w14:paraId="7BFC1127">
      <w:pPr>
        <w:bidi w:val="0"/>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●低价值废物作为原料，可忽略其上游生产数据；</w:t>
      </w:r>
    </w:p>
    <w:p w14:paraId="0708B395">
      <w:pPr>
        <w:bidi w:val="0"/>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●大多数情况下，生产设备、厂房、生活设施等可以忽略；</w:t>
      </w:r>
    </w:p>
    <w:p w14:paraId="78ED847C">
      <w:pPr>
        <w:bidi w:val="0"/>
        <w:rPr>
          <w:rFonts w:hint="default"/>
          <w:lang w:val="en-US" w:eastAsia="zh-CN"/>
        </w:rPr>
      </w:pPr>
      <w:r>
        <w:rPr>
          <w:rFonts w:hint="default" w:ascii="Times New Roman" w:hAnsi="Times New Roman" w:eastAsia="仿宋_GB2312" w:cs="Times New Roman"/>
          <w:lang w:val="en-US" w:eastAsia="zh-CN"/>
        </w:rPr>
        <w:t>●在选定环境影响类型范围内的已知排放数据不应忽略。</w:t>
      </w:r>
    </w:p>
    <w:p w14:paraId="770D50ED">
      <w:pPr>
        <w:bidi w:val="0"/>
        <w:rPr>
          <w:rFonts w:hint="default"/>
          <w:lang w:val="en-US" w:eastAsia="zh-CN"/>
        </w:rPr>
      </w:pPr>
    </w:p>
    <w:p w14:paraId="10D709DB">
      <w:pPr>
        <w:bidi w:val="0"/>
        <w:ind w:left="0" w:leftChars="0" w:firstLine="0" w:firstLineChars="0"/>
        <w:rPr>
          <w:rFonts w:hint="default"/>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72397BC6">
      <w:pPr>
        <w:pStyle w:val="4"/>
        <w:bidi w:val="0"/>
        <w:rPr>
          <w:rFonts w:hint="default"/>
          <w:lang w:val="en-US" w:eastAsia="zh-CN"/>
        </w:rPr>
      </w:pPr>
      <w:bookmarkStart w:id="8" w:name="_Toc2143"/>
      <w:r>
        <w:rPr>
          <w:rFonts w:hint="default"/>
          <w:lang w:val="en-US" w:eastAsia="zh-CN"/>
        </w:rPr>
        <w:t>3</w:t>
      </w:r>
      <w:r>
        <w:rPr>
          <w:rFonts w:hint="eastAsia"/>
          <w:lang w:val="en-US" w:eastAsia="zh-CN"/>
        </w:rPr>
        <w:t>.</w:t>
      </w:r>
      <w:r>
        <w:rPr>
          <w:rFonts w:hint="default"/>
          <w:lang w:val="en-US" w:eastAsia="zh-CN"/>
        </w:rPr>
        <w:t>数据收集</w:t>
      </w:r>
      <w:bookmarkEnd w:id="8"/>
    </w:p>
    <w:p w14:paraId="15A2A4C6">
      <w:pPr>
        <w:bidi w:val="0"/>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根据PAS2050:2011标准的要求，公司组建了碳足迹盘查工作组，工作组对产品碳足迹盘查工作先进行前期准备，然后确定工作方案和范围、并通过查阅文件、现场访问和电话沟通等过程完成本次碳足迹盘查工作。前期准备工作主要包括：了解产品基本情况、生产工艺流程及原材料供应商等信息；并调研和收集部分原始数据，主要包括：企业的生产报表、财务数据等，以保证数据的完整性和准确性，并在后期报告编制阶段，大量查阅数据库、文献报告以及成熟可用的LCA软件去获取排放因子。</w:t>
      </w:r>
    </w:p>
    <w:p w14:paraId="49555FCF">
      <w:pPr>
        <w:pStyle w:val="5"/>
        <w:bidi w:val="0"/>
        <w:rPr>
          <w:rFonts w:hint="default" w:ascii="Times New Roman" w:hAnsi="Times New Roman" w:eastAsia="仿宋_GB2312" w:cs="Times New Roman"/>
          <w:lang w:val="en-US" w:eastAsia="zh-CN"/>
        </w:rPr>
      </w:pPr>
      <w:bookmarkStart w:id="9" w:name="_Toc22879"/>
      <w:r>
        <w:rPr>
          <w:rFonts w:hint="default" w:ascii="Times New Roman" w:hAnsi="Times New Roman" w:eastAsia="仿宋_GB2312" w:cs="Times New Roman"/>
          <w:lang w:val="en-US" w:eastAsia="zh-CN"/>
        </w:rPr>
        <w:t>3.1初级活动水平数据</w:t>
      </w:r>
      <w:bookmarkEnd w:id="9"/>
    </w:p>
    <w:p w14:paraId="306388D4">
      <w:pPr>
        <w:bidi w:val="0"/>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根据PAS2050：2011标准的要求，初级活动水平数据应用于所有过程和材料，即产生碳足迹的组织所拥有、所经营或所控制的过程和材料。本报告初级活动水平数据包括产品生命周期系统中所有能源与物料的耗用（物料输入与输出、能源消耗等）。这些数据是从企业或其供应商处收集和测量获得，能真实地反映了整个生产过程能源和物料的输入，以及产品／中间产品和废物的输出。</w:t>
      </w:r>
    </w:p>
    <w:p w14:paraId="62A42ED0">
      <w:pPr>
        <w:pStyle w:val="5"/>
        <w:bidi w:val="0"/>
        <w:rPr>
          <w:rFonts w:hint="default" w:ascii="Times New Roman" w:hAnsi="Times New Roman" w:eastAsia="仿宋_GB2312" w:cs="Times New Roman"/>
          <w:lang w:val="en-US" w:eastAsia="zh-CN"/>
        </w:rPr>
      </w:pPr>
      <w:bookmarkStart w:id="10" w:name="_Toc29764"/>
      <w:r>
        <w:rPr>
          <w:rFonts w:hint="default" w:ascii="Times New Roman" w:hAnsi="Times New Roman" w:eastAsia="仿宋_GB2312" w:cs="Times New Roman"/>
          <w:lang w:val="en-US" w:eastAsia="zh-CN"/>
        </w:rPr>
        <w:t>3.2次级活动水平数据</w:t>
      </w:r>
      <w:bookmarkEnd w:id="10"/>
    </w:p>
    <w:p w14:paraId="1F9B9AF5">
      <w:pPr>
        <w:bidi w:val="0"/>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根据PAS2050：2011标准的要求，凡无法获得初级活动水平数据或初级活动水平数据质量有问题（例如没有响应的测量仪表）时，有必要使用直接测量以外其他来源的次级数据。本报告中次级活动数据主要来源数据库和文献资料中的数据。</w:t>
      </w:r>
    </w:p>
    <w:p w14:paraId="5381E032">
      <w:pPr>
        <w:bidi w:val="0"/>
        <w:rPr>
          <w:rFonts w:hint="default" w:ascii="Times New Roman" w:hAnsi="Times New Roman" w:eastAsia="仿宋_GB2312" w:cs="Times New Roman"/>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default" w:ascii="Times New Roman" w:hAnsi="Times New Roman" w:eastAsia="仿宋_GB2312" w:cs="Times New Roman"/>
          <w:lang w:val="en-US" w:eastAsia="zh-CN"/>
        </w:rPr>
        <w:t>产品碳足迹计算采用的各项数据的类别与来源如下表。</w:t>
      </w:r>
    </w:p>
    <w:p w14:paraId="439EF26C">
      <w:pPr>
        <w:bidi w:val="0"/>
        <w:jc w:val="center"/>
        <w:rPr>
          <w:rFonts w:hint="default"/>
          <w:lang w:val="en-US" w:eastAsia="zh-CN"/>
        </w:rPr>
      </w:pPr>
      <w:r>
        <w:rPr>
          <w:rFonts w:hint="default" w:ascii="Times New Roman" w:hAnsi="Times New Roman" w:eastAsia="仿宋_GB2312" w:cs="Times New Roman"/>
          <w:b/>
          <w:bCs/>
          <w:sz w:val="24"/>
          <w:szCs w:val="24"/>
          <w:lang w:val="en-US" w:eastAsia="zh-CN"/>
        </w:rPr>
        <w:t>表3.1碳足迹评价数据类别与来源</w:t>
      </w:r>
    </w:p>
    <w:tbl>
      <w:tblPr>
        <w:tblStyle w:val="13"/>
        <w:tblW w:w="5002"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2180"/>
        <w:gridCol w:w="1029"/>
        <w:gridCol w:w="2310"/>
        <w:gridCol w:w="2820"/>
      </w:tblGrid>
      <w:tr w14:paraId="0A7198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3309" w:type="pct"/>
            <w:gridSpan w:val="3"/>
            <w:tcBorders>
              <w:top w:val="single" w:color="000000" w:sz="12" w:space="0"/>
              <w:left w:val="single" w:color="000000" w:sz="12" w:space="0"/>
              <w:bottom w:val="single" w:color="000000" w:sz="4" w:space="0"/>
              <w:right w:val="single" w:color="000000" w:sz="4" w:space="0"/>
            </w:tcBorders>
            <w:noWrap w:val="0"/>
            <w:vAlign w:val="center"/>
          </w:tcPr>
          <w:p w14:paraId="6198B505">
            <w:pPr>
              <w:pStyle w:val="17"/>
              <w:bidi w:val="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数据类别</w:t>
            </w:r>
          </w:p>
        </w:tc>
        <w:tc>
          <w:tcPr>
            <w:tcW w:w="1690" w:type="pct"/>
            <w:tcBorders>
              <w:top w:val="single" w:color="000000" w:sz="12" w:space="0"/>
              <w:left w:val="single" w:color="000000" w:sz="4" w:space="0"/>
              <w:bottom w:val="single" w:color="000000" w:sz="4" w:space="0"/>
              <w:right w:val="single" w:color="000000" w:sz="12" w:space="0"/>
            </w:tcBorders>
            <w:noWrap w:val="0"/>
            <w:vAlign w:val="center"/>
          </w:tcPr>
          <w:p w14:paraId="316B753B">
            <w:pPr>
              <w:pStyle w:val="17"/>
              <w:bidi w:val="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活动数据来源</w:t>
            </w:r>
          </w:p>
        </w:tc>
      </w:tr>
      <w:tr w14:paraId="3A1ED6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307" w:type="pct"/>
            <w:vMerge w:val="restart"/>
            <w:tcBorders>
              <w:top w:val="single" w:color="000000" w:sz="4" w:space="0"/>
              <w:left w:val="single" w:color="000000" w:sz="12" w:space="0"/>
              <w:bottom w:val="single" w:color="000000" w:sz="4" w:space="0"/>
              <w:right w:val="single" w:color="000000" w:sz="4" w:space="0"/>
            </w:tcBorders>
            <w:noWrap w:val="0"/>
            <w:vAlign w:val="center"/>
          </w:tcPr>
          <w:p w14:paraId="1F1C61D9">
            <w:pPr>
              <w:pStyle w:val="18"/>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初级活动水平数据</w:t>
            </w:r>
          </w:p>
        </w:tc>
        <w:tc>
          <w:tcPr>
            <w:tcW w:w="617" w:type="pct"/>
            <w:tcBorders>
              <w:top w:val="single" w:color="000000" w:sz="4" w:space="0"/>
              <w:left w:val="single" w:color="000000" w:sz="4" w:space="0"/>
              <w:bottom w:val="single" w:color="000000" w:sz="4" w:space="0"/>
              <w:right w:val="single" w:color="000000" w:sz="4" w:space="0"/>
            </w:tcBorders>
            <w:noWrap w:val="0"/>
            <w:vAlign w:val="center"/>
          </w:tcPr>
          <w:p w14:paraId="1C626F40">
            <w:pPr>
              <w:pStyle w:val="18"/>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输入</w:t>
            </w:r>
          </w:p>
        </w:tc>
        <w:tc>
          <w:tcPr>
            <w:tcW w:w="1385" w:type="pct"/>
            <w:tcBorders>
              <w:top w:val="single" w:color="000000" w:sz="4" w:space="0"/>
              <w:left w:val="single" w:color="000000" w:sz="4" w:space="0"/>
              <w:bottom w:val="single" w:color="000000" w:sz="4" w:space="0"/>
              <w:right w:val="single" w:color="000000" w:sz="4" w:space="0"/>
            </w:tcBorders>
            <w:noWrap w:val="0"/>
            <w:vAlign w:val="center"/>
          </w:tcPr>
          <w:p w14:paraId="30BC8098">
            <w:pPr>
              <w:pStyle w:val="18"/>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原辅材料消耗量</w:t>
            </w:r>
          </w:p>
        </w:tc>
        <w:tc>
          <w:tcPr>
            <w:tcW w:w="1690" w:type="pct"/>
            <w:tcBorders>
              <w:top w:val="single" w:color="000000" w:sz="4" w:space="0"/>
              <w:left w:val="single" w:color="000000" w:sz="4" w:space="0"/>
              <w:bottom w:val="single" w:color="000000" w:sz="4" w:space="0"/>
              <w:right w:val="single" w:color="000000" w:sz="12" w:space="0"/>
            </w:tcBorders>
            <w:noWrap w:val="0"/>
            <w:vAlign w:val="center"/>
          </w:tcPr>
          <w:p w14:paraId="10721686">
            <w:pPr>
              <w:pStyle w:val="18"/>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原辅材料消耗统计表</w:t>
            </w:r>
          </w:p>
        </w:tc>
      </w:tr>
      <w:tr w14:paraId="33A0E7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307" w:type="pct"/>
            <w:vMerge w:val="continue"/>
            <w:tcBorders>
              <w:top w:val="single" w:color="000000" w:sz="4" w:space="0"/>
              <w:left w:val="single" w:color="000000" w:sz="12" w:space="0"/>
              <w:bottom w:val="single" w:color="000000" w:sz="4" w:space="0"/>
              <w:right w:val="single" w:color="000000" w:sz="4" w:space="0"/>
            </w:tcBorders>
            <w:noWrap w:val="0"/>
            <w:vAlign w:val="center"/>
          </w:tcPr>
          <w:p w14:paraId="2EE08AFA">
            <w:pPr>
              <w:pStyle w:val="18"/>
              <w:bidi w:val="0"/>
              <w:jc w:val="center"/>
              <w:rPr>
                <w:rFonts w:hint="default" w:ascii="Times New Roman" w:hAnsi="Times New Roman" w:eastAsia="仿宋_GB2312" w:cs="Times New Roman"/>
                <w:sz w:val="24"/>
                <w:szCs w:val="24"/>
              </w:rPr>
            </w:pPr>
          </w:p>
        </w:tc>
        <w:tc>
          <w:tcPr>
            <w:tcW w:w="617" w:type="pct"/>
            <w:tcBorders>
              <w:top w:val="single" w:color="000000" w:sz="4" w:space="0"/>
              <w:left w:val="single" w:color="000000" w:sz="4" w:space="0"/>
              <w:bottom w:val="single" w:color="000000" w:sz="4" w:space="0"/>
              <w:right w:val="single" w:color="000000" w:sz="4" w:space="0"/>
            </w:tcBorders>
            <w:noWrap w:val="0"/>
            <w:vAlign w:val="center"/>
          </w:tcPr>
          <w:p w14:paraId="6A261635">
            <w:pPr>
              <w:pStyle w:val="18"/>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能源</w:t>
            </w:r>
          </w:p>
        </w:tc>
        <w:tc>
          <w:tcPr>
            <w:tcW w:w="1385" w:type="pct"/>
            <w:tcBorders>
              <w:top w:val="single" w:color="000000" w:sz="4" w:space="0"/>
              <w:left w:val="single" w:color="000000" w:sz="4" w:space="0"/>
              <w:bottom w:val="single" w:color="000000" w:sz="4" w:space="0"/>
              <w:right w:val="single" w:color="000000" w:sz="4" w:space="0"/>
            </w:tcBorders>
            <w:noWrap w:val="0"/>
            <w:vAlign w:val="center"/>
          </w:tcPr>
          <w:p w14:paraId="35B3DB86">
            <w:pPr>
              <w:pStyle w:val="18"/>
              <w:bidi w:val="0"/>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rPr>
              <w:t>电、</w:t>
            </w:r>
            <w:r>
              <w:rPr>
                <w:rFonts w:hint="eastAsia" w:eastAsia="仿宋_GB2312" w:cs="Times New Roman"/>
                <w:sz w:val="24"/>
                <w:szCs w:val="24"/>
                <w:lang w:val="en-US" w:eastAsia="zh-CN"/>
              </w:rPr>
              <w:t>天然气、柴油</w:t>
            </w:r>
          </w:p>
        </w:tc>
        <w:tc>
          <w:tcPr>
            <w:tcW w:w="1690" w:type="pct"/>
            <w:tcBorders>
              <w:top w:val="single" w:color="000000" w:sz="4" w:space="0"/>
              <w:left w:val="single" w:color="000000" w:sz="4" w:space="0"/>
              <w:bottom w:val="single" w:color="000000" w:sz="4" w:space="0"/>
              <w:right w:val="single" w:color="000000" w:sz="12" w:space="0"/>
            </w:tcBorders>
            <w:noWrap w:val="0"/>
            <w:vAlign w:val="center"/>
          </w:tcPr>
          <w:p w14:paraId="0A5D0200">
            <w:pPr>
              <w:pStyle w:val="18"/>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企业生产报表</w:t>
            </w:r>
          </w:p>
        </w:tc>
      </w:tr>
      <w:tr w14:paraId="08849D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307" w:type="pct"/>
            <w:vMerge w:val="continue"/>
            <w:tcBorders>
              <w:top w:val="single" w:color="000000" w:sz="4" w:space="0"/>
              <w:left w:val="single" w:color="000000" w:sz="12" w:space="0"/>
              <w:bottom w:val="single" w:color="000000" w:sz="4" w:space="0"/>
              <w:right w:val="single" w:color="000000" w:sz="4" w:space="0"/>
            </w:tcBorders>
            <w:noWrap w:val="0"/>
            <w:vAlign w:val="center"/>
          </w:tcPr>
          <w:p w14:paraId="25811EDB">
            <w:pPr>
              <w:pStyle w:val="18"/>
              <w:bidi w:val="0"/>
              <w:jc w:val="center"/>
              <w:rPr>
                <w:rFonts w:hint="default" w:ascii="Times New Roman" w:hAnsi="Times New Roman" w:eastAsia="仿宋_GB2312" w:cs="Times New Roman"/>
                <w:sz w:val="24"/>
                <w:szCs w:val="24"/>
              </w:rPr>
            </w:pPr>
          </w:p>
        </w:tc>
        <w:tc>
          <w:tcPr>
            <w:tcW w:w="617" w:type="pct"/>
            <w:tcBorders>
              <w:top w:val="single" w:color="000000" w:sz="4" w:space="0"/>
              <w:left w:val="single" w:color="000000" w:sz="4" w:space="0"/>
              <w:bottom w:val="single" w:color="000000" w:sz="4" w:space="0"/>
              <w:right w:val="single" w:color="000000" w:sz="4" w:space="0"/>
            </w:tcBorders>
            <w:noWrap w:val="0"/>
            <w:vAlign w:val="center"/>
          </w:tcPr>
          <w:p w14:paraId="3B7F8214">
            <w:pPr>
              <w:pStyle w:val="18"/>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运输</w:t>
            </w:r>
          </w:p>
        </w:tc>
        <w:tc>
          <w:tcPr>
            <w:tcW w:w="1385" w:type="pct"/>
            <w:tcBorders>
              <w:top w:val="single" w:color="000000" w:sz="4" w:space="0"/>
              <w:left w:val="single" w:color="000000" w:sz="4" w:space="0"/>
              <w:bottom w:val="single" w:color="000000" w:sz="4" w:space="0"/>
              <w:right w:val="single" w:color="000000" w:sz="4" w:space="0"/>
            </w:tcBorders>
            <w:noWrap w:val="0"/>
            <w:vAlign w:val="center"/>
          </w:tcPr>
          <w:p w14:paraId="10C68C17">
            <w:pPr>
              <w:pStyle w:val="18"/>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运输燃油消耗</w:t>
            </w:r>
          </w:p>
        </w:tc>
        <w:tc>
          <w:tcPr>
            <w:tcW w:w="1690" w:type="pct"/>
            <w:tcBorders>
              <w:top w:val="single" w:color="000000" w:sz="4" w:space="0"/>
              <w:left w:val="single" w:color="000000" w:sz="4" w:space="0"/>
              <w:bottom w:val="single" w:color="000000" w:sz="4" w:space="0"/>
              <w:right w:val="single" w:color="000000" w:sz="12" w:space="0"/>
            </w:tcBorders>
            <w:noWrap w:val="0"/>
            <w:vAlign w:val="center"/>
          </w:tcPr>
          <w:p w14:paraId="1070181D">
            <w:pPr>
              <w:pStyle w:val="18"/>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以供应商距离和车数估算</w:t>
            </w:r>
          </w:p>
        </w:tc>
      </w:tr>
      <w:tr w14:paraId="1B6ACC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307" w:type="pct"/>
            <w:vMerge w:val="restart"/>
            <w:tcBorders>
              <w:top w:val="single" w:color="000000" w:sz="4" w:space="0"/>
              <w:left w:val="single" w:color="000000" w:sz="12" w:space="0"/>
              <w:bottom w:val="single" w:color="000000" w:sz="4" w:space="0"/>
              <w:right w:val="single" w:color="000000" w:sz="4" w:space="0"/>
            </w:tcBorders>
            <w:noWrap w:val="0"/>
            <w:vAlign w:val="center"/>
          </w:tcPr>
          <w:p w14:paraId="5462A354">
            <w:pPr>
              <w:pStyle w:val="18"/>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次级活动水平数据</w:t>
            </w:r>
          </w:p>
        </w:tc>
        <w:tc>
          <w:tcPr>
            <w:tcW w:w="617" w:type="pct"/>
            <w:vMerge w:val="restart"/>
            <w:tcBorders>
              <w:top w:val="single" w:color="000000" w:sz="4" w:space="0"/>
              <w:left w:val="single" w:color="000000" w:sz="4" w:space="0"/>
              <w:bottom w:val="single" w:color="000000" w:sz="4" w:space="0"/>
              <w:right w:val="single" w:color="000000" w:sz="4" w:space="0"/>
            </w:tcBorders>
            <w:noWrap w:val="0"/>
            <w:vAlign w:val="center"/>
          </w:tcPr>
          <w:p w14:paraId="7C694B48">
            <w:pPr>
              <w:pStyle w:val="18"/>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排放系数</w:t>
            </w:r>
          </w:p>
        </w:tc>
        <w:tc>
          <w:tcPr>
            <w:tcW w:w="1385" w:type="pct"/>
            <w:tcBorders>
              <w:top w:val="single" w:color="000000" w:sz="4" w:space="0"/>
              <w:left w:val="single" w:color="000000" w:sz="4" w:space="0"/>
              <w:bottom w:val="single" w:color="000000" w:sz="4" w:space="0"/>
              <w:right w:val="single" w:color="000000" w:sz="4" w:space="0"/>
            </w:tcBorders>
            <w:noWrap w:val="0"/>
            <w:vAlign w:val="center"/>
          </w:tcPr>
          <w:p w14:paraId="424465FA">
            <w:pPr>
              <w:pStyle w:val="18"/>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原辅料</w:t>
            </w:r>
          </w:p>
        </w:tc>
        <w:tc>
          <w:tcPr>
            <w:tcW w:w="1690" w:type="pct"/>
            <w:tcBorders>
              <w:top w:val="single" w:color="000000" w:sz="4" w:space="0"/>
              <w:left w:val="single" w:color="000000" w:sz="4" w:space="0"/>
              <w:bottom w:val="single" w:color="000000" w:sz="4" w:space="0"/>
              <w:right w:val="single" w:color="000000" w:sz="12" w:space="0"/>
            </w:tcBorders>
            <w:noWrap w:val="0"/>
            <w:vAlign w:val="center"/>
          </w:tcPr>
          <w:p w14:paraId="7E01FD1F">
            <w:pPr>
              <w:pStyle w:val="18"/>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根据厂商地址估算</w:t>
            </w:r>
          </w:p>
        </w:tc>
      </w:tr>
      <w:tr w14:paraId="363CE3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1307" w:type="pct"/>
            <w:vMerge w:val="continue"/>
            <w:tcBorders>
              <w:top w:val="single" w:color="000000" w:sz="4" w:space="0"/>
              <w:left w:val="single" w:color="000000" w:sz="12" w:space="0"/>
              <w:bottom w:val="single" w:color="000000" w:sz="4" w:space="0"/>
              <w:right w:val="single" w:color="000000" w:sz="4" w:space="0"/>
            </w:tcBorders>
            <w:noWrap w:val="0"/>
            <w:vAlign w:val="center"/>
          </w:tcPr>
          <w:p w14:paraId="1138D48C">
            <w:pPr>
              <w:pStyle w:val="18"/>
              <w:bidi w:val="0"/>
              <w:jc w:val="center"/>
              <w:rPr>
                <w:rFonts w:hint="default" w:ascii="Times New Roman" w:hAnsi="Times New Roman" w:eastAsia="仿宋_GB2312" w:cs="Times New Roman"/>
                <w:sz w:val="24"/>
                <w:szCs w:val="24"/>
              </w:rPr>
            </w:pPr>
          </w:p>
        </w:tc>
        <w:tc>
          <w:tcPr>
            <w:tcW w:w="617" w:type="pct"/>
            <w:vMerge w:val="continue"/>
            <w:tcBorders>
              <w:top w:val="single" w:color="000000" w:sz="4" w:space="0"/>
              <w:left w:val="single" w:color="000000" w:sz="4" w:space="0"/>
              <w:bottom w:val="single" w:color="000000" w:sz="4" w:space="0"/>
              <w:right w:val="single" w:color="000000" w:sz="4" w:space="0"/>
            </w:tcBorders>
            <w:noWrap w:val="0"/>
            <w:vAlign w:val="center"/>
          </w:tcPr>
          <w:p w14:paraId="3A4F4535">
            <w:pPr>
              <w:pStyle w:val="18"/>
              <w:bidi w:val="0"/>
              <w:jc w:val="center"/>
              <w:rPr>
                <w:rFonts w:hint="default" w:ascii="Times New Roman" w:hAnsi="Times New Roman" w:eastAsia="仿宋_GB2312" w:cs="Times New Roman"/>
                <w:sz w:val="24"/>
                <w:szCs w:val="24"/>
              </w:rPr>
            </w:pPr>
          </w:p>
        </w:tc>
        <w:tc>
          <w:tcPr>
            <w:tcW w:w="1385" w:type="pct"/>
            <w:tcBorders>
              <w:top w:val="single" w:color="000000" w:sz="4" w:space="0"/>
              <w:left w:val="single" w:color="000000" w:sz="4" w:space="0"/>
              <w:bottom w:val="single" w:color="000000" w:sz="4" w:space="0"/>
              <w:right w:val="single" w:color="000000" w:sz="4" w:space="0"/>
            </w:tcBorders>
            <w:noWrap w:val="0"/>
            <w:vAlign w:val="center"/>
          </w:tcPr>
          <w:p w14:paraId="3AABE509">
            <w:pPr>
              <w:pStyle w:val="18"/>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能源</w:t>
            </w:r>
          </w:p>
        </w:tc>
        <w:tc>
          <w:tcPr>
            <w:tcW w:w="1690" w:type="pct"/>
            <w:tcBorders>
              <w:top w:val="single" w:color="000000" w:sz="4" w:space="0"/>
              <w:left w:val="single" w:color="000000" w:sz="4" w:space="0"/>
              <w:bottom w:val="single" w:color="000000" w:sz="4" w:space="0"/>
              <w:right w:val="single" w:color="000000" w:sz="12" w:space="0"/>
            </w:tcBorders>
            <w:noWrap w:val="0"/>
            <w:vAlign w:val="center"/>
          </w:tcPr>
          <w:p w14:paraId="2E8AED33">
            <w:pPr>
              <w:pStyle w:val="18"/>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数据库及文献资料</w:t>
            </w:r>
          </w:p>
        </w:tc>
      </w:tr>
      <w:tr w14:paraId="0B89F4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1307" w:type="pct"/>
            <w:vMerge w:val="continue"/>
            <w:tcBorders>
              <w:top w:val="single" w:color="000000" w:sz="4" w:space="0"/>
              <w:left w:val="single" w:color="000000" w:sz="12" w:space="0"/>
              <w:bottom w:val="single" w:color="000000" w:sz="12" w:space="0"/>
              <w:right w:val="single" w:color="000000" w:sz="4" w:space="0"/>
            </w:tcBorders>
            <w:noWrap w:val="0"/>
            <w:vAlign w:val="center"/>
          </w:tcPr>
          <w:p w14:paraId="34C27085">
            <w:pPr>
              <w:pStyle w:val="18"/>
              <w:bidi w:val="0"/>
              <w:jc w:val="center"/>
              <w:rPr>
                <w:rFonts w:hint="default" w:ascii="Times New Roman" w:hAnsi="Times New Roman" w:eastAsia="仿宋_GB2312" w:cs="Times New Roman"/>
                <w:sz w:val="24"/>
                <w:szCs w:val="24"/>
              </w:rPr>
            </w:pPr>
          </w:p>
        </w:tc>
        <w:tc>
          <w:tcPr>
            <w:tcW w:w="617" w:type="pct"/>
            <w:vMerge w:val="continue"/>
            <w:tcBorders>
              <w:top w:val="single" w:color="000000" w:sz="4" w:space="0"/>
              <w:left w:val="single" w:color="000000" w:sz="4" w:space="0"/>
              <w:bottom w:val="single" w:color="000000" w:sz="12" w:space="0"/>
              <w:right w:val="single" w:color="000000" w:sz="4" w:space="0"/>
            </w:tcBorders>
            <w:noWrap w:val="0"/>
            <w:vAlign w:val="center"/>
          </w:tcPr>
          <w:p w14:paraId="45E20151">
            <w:pPr>
              <w:pStyle w:val="18"/>
              <w:bidi w:val="0"/>
              <w:jc w:val="center"/>
              <w:rPr>
                <w:rFonts w:hint="default" w:ascii="Times New Roman" w:hAnsi="Times New Roman" w:eastAsia="仿宋_GB2312" w:cs="Times New Roman"/>
                <w:sz w:val="24"/>
                <w:szCs w:val="24"/>
              </w:rPr>
            </w:pPr>
          </w:p>
        </w:tc>
        <w:tc>
          <w:tcPr>
            <w:tcW w:w="1385" w:type="pct"/>
            <w:tcBorders>
              <w:top w:val="single" w:color="000000" w:sz="4" w:space="0"/>
              <w:left w:val="single" w:color="000000" w:sz="4" w:space="0"/>
              <w:bottom w:val="single" w:color="000000" w:sz="12" w:space="0"/>
              <w:right w:val="single" w:color="000000" w:sz="4" w:space="0"/>
            </w:tcBorders>
            <w:noWrap w:val="0"/>
            <w:vAlign w:val="center"/>
          </w:tcPr>
          <w:p w14:paraId="7103B97A">
            <w:pPr>
              <w:pStyle w:val="18"/>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运输</w:t>
            </w:r>
          </w:p>
        </w:tc>
        <w:tc>
          <w:tcPr>
            <w:tcW w:w="1690" w:type="pct"/>
            <w:tcBorders>
              <w:top w:val="single" w:color="000000" w:sz="4" w:space="0"/>
              <w:left w:val="single" w:color="000000" w:sz="4" w:space="0"/>
              <w:bottom w:val="single" w:color="000000" w:sz="12" w:space="0"/>
              <w:right w:val="single" w:color="000000" w:sz="12" w:space="0"/>
            </w:tcBorders>
            <w:noWrap w:val="0"/>
            <w:vAlign w:val="center"/>
          </w:tcPr>
          <w:p w14:paraId="4F312A6C">
            <w:pPr>
              <w:pStyle w:val="18"/>
              <w:bidi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数据库及文献资料</w:t>
            </w:r>
          </w:p>
        </w:tc>
      </w:tr>
    </w:tbl>
    <w:p w14:paraId="706DB969">
      <w:pPr>
        <w:pStyle w:val="5"/>
        <w:bidi w:val="0"/>
        <w:rPr>
          <w:rFonts w:hint="default" w:ascii="Times New Roman" w:hAnsi="Times New Roman" w:eastAsia="仿宋_GB2312" w:cs="Times New Roman"/>
          <w:sz w:val="28"/>
          <w:szCs w:val="28"/>
          <w:lang w:val="en-US" w:eastAsia="zh-CN"/>
        </w:rPr>
      </w:pPr>
      <w:bookmarkStart w:id="11" w:name="_Toc16597"/>
      <w:r>
        <w:rPr>
          <w:rFonts w:hint="default" w:ascii="Times New Roman" w:hAnsi="Times New Roman" w:eastAsia="仿宋_GB2312" w:cs="Times New Roman"/>
          <w:sz w:val="28"/>
          <w:szCs w:val="28"/>
          <w:lang w:val="en-US" w:eastAsia="zh-CN"/>
        </w:rPr>
        <w:t>3.3过程清单数据表</w:t>
      </w:r>
      <w:bookmarkEnd w:id="11"/>
    </w:p>
    <w:p w14:paraId="056B632D">
      <w:pPr>
        <w:bidi w:val="0"/>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（1）过程基本信息</w:t>
      </w:r>
    </w:p>
    <w:p w14:paraId="04E32B10">
      <w:pPr>
        <w:bidi w:val="0"/>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过程名称：</w:t>
      </w:r>
      <w:r>
        <w:rPr>
          <w:rFonts w:hint="eastAsia" w:eastAsia="仿宋_GB2312" w:cs="Times New Roman"/>
          <w:sz w:val="28"/>
          <w:szCs w:val="28"/>
          <w:lang w:val="en-US" w:eastAsia="zh-CN"/>
        </w:rPr>
        <w:t>甲醇系列发动机</w:t>
      </w:r>
      <w:r>
        <w:rPr>
          <w:rFonts w:hint="default" w:ascii="Times New Roman" w:hAnsi="Times New Roman" w:eastAsia="仿宋_GB2312" w:cs="Times New Roman"/>
          <w:sz w:val="28"/>
          <w:szCs w:val="28"/>
          <w:lang w:val="en-US" w:eastAsia="zh-CN"/>
        </w:rPr>
        <w:t>的生产</w:t>
      </w:r>
    </w:p>
    <w:p w14:paraId="056DC125">
      <w:pPr>
        <w:bidi w:val="0"/>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（2）数据代表性</w:t>
      </w:r>
    </w:p>
    <w:p w14:paraId="01C5EA63">
      <w:pPr>
        <w:bidi w:val="0"/>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主要数据来源：企业实际生产数据技术代表性，包括以下方面：</w:t>
      </w:r>
    </w:p>
    <w:p w14:paraId="05E2EB67">
      <w:pPr>
        <w:bidi w:val="0"/>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生产产量：</w:t>
      </w:r>
      <w:r>
        <w:rPr>
          <w:rFonts w:hint="eastAsia" w:eastAsia="仿宋_GB2312" w:cs="宋体"/>
          <w:b w:val="0"/>
          <w:bCs w:val="0"/>
          <w:i w:val="0"/>
          <w:iCs w:val="0"/>
          <w:color w:val="000000"/>
          <w:sz w:val="24"/>
          <w:szCs w:val="24"/>
          <w:u w:val="none"/>
          <w:lang w:val="en-US" w:eastAsia="zh-CN"/>
        </w:rPr>
        <w:t>6081台</w:t>
      </w:r>
    </w:p>
    <w:p w14:paraId="654707CE">
      <w:pPr>
        <w:bidi w:val="0"/>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主要原料：</w:t>
      </w:r>
      <w:r>
        <w:rPr>
          <w:rFonts w:hint="eastAsia" w:ascii="Times New Roman" w:hAnsi="Times New Roman" w:eastAsia="仿宋_GB2312" w:cs="Times New Roman"/>
          <w:color w:val="auto"/>
          <w:kern w:val="0"/>
          <w:sz w:val="28"/>
          <w:szCs w:val="28"/>
          <w:highlight w:val="none"/>
          <w:lang w:val="en-US" w:eastAsia="zh-CN" w:bidi="ar-SA"/>
        </w:rPr>
        <w:t>缸体、缸盖、曲轴、飞轮壳等</w:t>
      </w:r>
    </w:p>
    <w:p w14:paraId="1A0AC98E">
      <w:pPr>
        <w:bidi w:val="0"/>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主要能耗：电力、</w:t>
      </w:r>
      <w:r>
        <w:rPr>
          <w:rFonts w:hint="eastAsia" w:eastAsia="仿宋_GB2312" w:cs="Times New Roman"/>
          <w:sz w:val="28"/>
          <w:szCs w:val="28"/>
          <w:lang w:val="en-US" w:eastAsia="zh-CN"/>
        </w:rPr>
        <w:t>天然气、柴油</w:t>
      </w:r>
    </w:p>
    <w:p w14:paraId="5F7CB0BF">
      <w:pPr>
        <w:bidi w:val="0"/>
        <w:jc w:val="center"/>
        <w:rPr>
          <w:rFonts w:hint="default" w:ascii="Times New Roman" w:hAnsi="Times New Roman" w:eastAsia="仿宋_GB2312" w:cs="Times New Roman"/>
          <w:b/>
          <w:bCs/>
          <w:sz w:val="24"/>
          <w:szCs w:val="24"/>
          <w:lang w:val="en-US" w:eastAsia="zh-CN"/>
        </w:rPr>
      </w:pPr>
      <w:r>
        <w:rPr>
          <w:rFonts w:hint="default" w:ascii="Times New Roman" w:hAnsi="Times New Roman" w:eastAsia="仿宋_GB2312" w:cs="Times New Roman"/>
          <w:b/>
          <w:bCs/>
          <w:sz w:val="24"/>
          <w:szCs w:val="24"/>
          <w:lang w:val="en-US" w:eastAsia="zh-CN"/>
        </w:rPr>
        <w:t>表3.2过程清单数据表</w:t>
      </w:r>
    </w:p>
    <w:tbl>
      <w:tblPr>
        <w:tblStyle w:val="13"/>
        <w:tblW w:w="4998"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2465"/>
        <w:gridCol w:w="1488"/>
        <w:gridCol w:w="2100"/>
        <w:gridCol w:w="2466"/>
      </w:tblGrid>
      <w:tr w14:paraId="1A47A1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1446" w:type="pct"/>
            <w:tcBorders>
              <w:tl2br w:val="nil"/>
              <w:tr2bl w:val="nil"/>
            </w:tcBorders>
            <w:shd w:val="clear" w:color="auto" w:fill="auto"/>
            <w:vAlign w:val="center"/>
          </w:tcPr>
          <w:p w14:paraId="032A76E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bCs/>
                <w:i w:val="0"/>
                <w:iCs w:val="0"/>
                <w:color w:val="000000"/>
                <w:sz w:val="24"/>
                <w:szCs w:val="24"/>
                <w:u w:val="none"/>
              </w:rPr>
            </w:pPr>
            <w:r>
              <w:rPr>
                <w:rFonts w:hint="default" w:ascii="Times New Roman" w:hAnsi="Times New Roman" w:eastAsia="仿宋_GB2312" w:cs="Times New Roman"/>
                <w:b/>
                <w:bCs/>
                <w:i w:val="0"/>
                <w:iCs w:val="0"/>
                <w:color w:val="000000"/>
                <w:kern w:val="0"/>
                <w:sz w:val="24"/>
                <w:szCs w:val="24"/>
                <w:u w:val="none"/>
                <w:lang w:val="en-US" w:eastAsia="zh-CN" w:bidi="ar"/>
              </w:rPr>
              <w:t>名称</w:t>
            </w:r>
          </w:p>
        </w:tc>
        <w:tc>
          <w:tcPr>
            <w:tcW w:w="873" w:type="pct"/>
            <w:tcBorders>
              <w:tl2br w:val="nil"/>
              <w:tr2bl w:val="nil"/>
            </w:tcBorders>
            <w:shd w:val="clear" w:color="auto" w:fill="auto"/>
            <w:vAlign w:val="center"/>
          </w:tcPr>
          <w:p w14:paraId="64A69D9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bCs/>
                <w:i w:val="0"/>
                <w:iCs w:val="0"/>
                <w:color w:val="000000"/>
                <w:sz w:val="24"/>
                <w:szCs w:val="24"/>
                <w:u w:val="none"/>
              </w:rPr>
            </w:pPr>
            <w:r>
              <w:rPr>
                <w:rFonts w:hint="default" w:ascii="Times New Roman" w:hAnsi="Times New Roman" w:eastAsia="仿宋_GB2312" w:cs="Times New Roman"/>
                <w:b/>
                <w:bCs/>
                <w:i w:val="0"/>
                <w:iCs w:val="0"/>
                <w:color w:val="000000"/>
                <w:kern w:val="0"/>
                <w:sz w:val="24"/>
                <w:szCs w:val="24"/>
                <w:u w:val="none"/>
                <w:lang w:val="en-US" w:eastAsia="zh-CN" w:bidi="ar"/>
              </w:rPr>
              <w:t>单位</w:t>
            </w:r>
          </w:p>
        </w:tc>
        <w:tc>
          <w:tcPr>
            <w:tcW w:w="1232" w:type="pct"/>
            <w:tcBorders>
              <w:tl2br w:val="nil"/>
              <w:tr2bl w:val="nil"/>
            </w:tcBorders>
            <w:shd w:val="clear" w:color="auto" w:fill="auto"/>
            <w:vAlign w:val="center"/>
          </w:tcPr>
          <w:p w14:paraId="6EC55F1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bCs/>
                <w:i w:val="0"/>
                <w:iCs w:val="0"/>
                <w:color w:val="000000"/>
                <w:sz w:val="24"/>
                <w:szCs w:val="24"/>
                <w:u w:val="none"/>
              </w:rPr>
            </w:pPr>
            <w:r>
              <w:rPr>
                <w:rFonts w:hint="default" w:ascii="Times New Roman" w:hAnsi="Times New Roman" w:eastAsia="仿宋_GB2312" w:cs="Times New Roman"/>
                <w:b/>
                <w:bCs/>
                <w:i w:val="0"/>
                <w:iCs w:val="0"/>
                <w:color w:val="000000"/>
                <w:kern w:val="0"/>
                <w:sz w:val="24"/>
                <w:szCs w:val="24"/>
                <w:u w:val="none"/>
                <w:lang w:val="en-US" w:eastAsia="zh-CN" w:bidi="ar"/>
              </w:rPr>
              <w:t>2024年</w:t>
            </w:r>
          </w:p>
        </w:tc>
        <w:tc>
          <w:tcPr>
            <w:tcW w:w="1447" w:type="pct"/>
            <w:tcBorders>
              <w:tl2br w:val="nil"/>
              <w:tr2bl w:val="nil"/>
            </w:tcBorders>
            <w:shd w:val="clear" w:color="auto" w:fill="auto"/>
            <w:vAlign w:val="center"/>
          </w:tcPr>
          <w:p w14:paraId="436B2BE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b/>
                <w:bCs/>
                <w:i w:val="0"/>
                <w:iCs w:val="0"/>
                <w:color w:val="000000"/>
                <w:sz w:val="24"/>
                <w:szCs w:val="24"/>
                <w:u w:val="none"/>
              </w:rPr>
            </w:pPr>
            <w:r>
              <w:rPr>
                <w:rFonts w:hint="default" w:ascii="Times New Roman" w:hAnsi="Times New Roman" w:eastAsia="仿宋_GB2312" w:cs="Times New Roman"/>
                <w:b/>
                <w:bCs/>
                <w:i w:val="0"/>
                <w:iCs w:val="0"/>
                <w:color w:val="000000"/>
                <w:kern w:val="0"/>
                <w:sz w:val="24"/>
                <w:szCs w:val="24"/>
                <w:u w:val="none"/>
                <w:lang w:val="en-US" w:eastAsia="zh-CN" w:bidi="ar"/>
              </w:rPr>
              <w:t>类型</w:t>
            </w:r>
          </w:p>
        </w:tc>
      </w:tr>
      <w:tr w14:paraId="54C850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446" w:type="pct"/>
            <w:tcBorders>
              <w:tl2br w:val="nil"/>
              <w:tr2bl w:val="nil"/>
            </w:tcBorders>
            <w:shd w:val="clear" w:color="auto" w:fill="auto"/>
            <w:vAlign w:val="top"/>
          </w:tcPr>
          <w:p w14:paraId="7E03A9D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eastAsia="仿宋_GB2312" w:cs="Times New Roman"/>
                <w:i w:val="0"/>
                <w:iCs w:val="0"/>
                <w:color w:val="000000"/>
                <w:kern w:val="0"/>
                <w:sz w:val="24"/>
                <w:szCs w:val="24"/>
                <w:u w:val="none"/>
                <w:lang w:val="en-US" w:eastAsia="zh-CN" w:bidi="ar"/>
              </w:rPr>
              <w:t>甲醇系列发动机</w:t>
            </w:r>
          </w:p>
        </w:tc>
        <w:tc>
          <w:tcPr>
            <w:tcW w:w="873" w:type="pct"/>
            <w:tcBorders>
              <w:tl2br w:val="nil"/>
              <w:tr2bl w:val="nil"/>
            </w:tcBorders>
            <w:shd w:val="clear" w:color="auto" w:fill="auto"/>
            <w:vAlign w:val="top"/>
          </w:tcPr>
          <w:p w14:paraId="72842A5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eastAsia="仿宋_GB2312" w:cs="Times New Roman"/>
                <w:i w:val="0"/>
                <w:iCs w:val="0"/>
                <w:color w:val="000000"/>
                <w:kern w:val="0"/>
                <w:sz w:val="24"/>
                <w:szCs w:val="24"/>
                <w:u w:val="none"/>
                <w:lang w:val="en-US" w:eastAsia="zh-CN" w:bidi="ar"/>
              </w:rPr>
              <w:t>台</w:t>
            </w:r>
          </w:p>
        </w:tc>
        <w:tc>
          <w:tcPr>
            <w:tcW w:w="1232" w:type="pct"/>
            <w:tcBorders>
              <w:tl2br w:val="nil"/>
              <w:tr2bl w:val="nil"/>
            </w:tcBorders>
            <w:shd w:val="clear" w:color="auto" w:fill="auto"/>
            <w:vAlign w:val="top"/>
          </w:tcPr>
          <w:p w14:paraId="4B58898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eastAsia="仿宋_GB2312" w:cs="Times New Roman"/>
                <w:i w:val="0"/>
                <w:iCs w:val="0"/>
                <w:color w:val="000000"/>
                <w:kern w:val="0"/>
                <w:sz w:val="24"/>
                <w:szCs w:val="24"/>
                <w:u w:val="none"/>
                <w:lang w:val="en-US" w:eastAsia="zh-CN" w:bidi="ar"/>
              </w:rPr>
              <w:t>6081</w:t>
            </w:r>
          </w:p>
        </w:tc>
        <w:tc>
          <w:tcPr>
            <w:tcW w:w="1447" w:type="pct"/>
            <w:tcBorders>
              <w:tl2br w:val="nil"/>
              <w:tr2bl w:val="nil"/>
            </w:tcBorders>
            <w:shd w:val="clear" w:color="auto" w:fill="auto"/>
            <w:vAlign w:val="top"/>
          </w:tcPr>
          <w:p w14:paraId="72DC36F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产品产出</w:t>
            </w:r>
          </w:p>
        </w:tc>
      </w:tr>
      <w:tr w14:paraId="110509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446" w:type="pct"/>
            <w:tcBorders>
              <w:tl2br w:val="nil"/>
              <w:tr2bl w:val="nil"/>
            </w:tcBorders>
            <w:shd w:val="clear" w:color="auto" w:fill="auto"/>
            <w:vAlign w:val="top"/>
          </w:tcPr>
          <w:p w14:paraId="747A418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电力</w:t>
            </w:r>
          </w:p>
        </w:tc>
        <w:tc>
          <w:tcPr>
            <w:tcW w:w="873" w:type="pct"/>
            <w:tcBorders>
              <w:tl2br w:val="nil"/>
              <w:tr2bl w:val="nil"/>
            </w:tcBorders>
            <w:shd w:val="clear" w:color="auto" w:fill="auto"/>
            <w:vAlign w:val="top"/>
          </w:tcPr>
          <w:p w14:paraId="199BC2F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eastAsia="仿宋_GB2312" w:cs="Times New Roman"/>
                <w:i w:val="0"/>
                <w:iCs w:val="0"/>
                <w:color w:val="000000"/>
                <w:kern w:val="0"/>
                <w:sz w:val="24"/>
                <w:szCs w:val="24"/>
                <w:u w:val="none"/>
                <w:lang w:val="en-US" w:eastAsia="zh-CN" w:bidi="ar"/>
              </w:rPr>
              <w:t>万K</w:t>
            </w:r>
            <w:r>
              <w:rPr>
                <w:rFonts w:hint="default" w:ascii="Times New Roman" w:hAnsi="Times New Roman" w:eastAsia="仿宋_GB2312" w:cs="Times New Roman"/>
                <w:i w:val="0"/>
                <w:iCs w:val="0"/>
                <w:color w:val="000000"/>
                <w:kern w:val="0"/>
                <w:sz w:val="24"/>
                <w:szCs w:val="24"/>
                <w:u w:val="none"/>
                <w:lang w:val="en-US" w:eastAsia="zh-CN" w:bidi="ar"/>
              </w:rPr>
              <w:t>Wh</w:t>
            </w:r>
          </w:p>
        </w:tc>
        <w:tc>
          <w:tcPr>
            <w:tcW w:w="1232" w:type="pct"/>
            <w:tcBorders>
              <w:tl2br w:val="nil"/>
              <w:tr2bl w:val="nil"/>
            </w:tcBorders>
            <w:shd w:val="clear" w:color="auto" w:fill="auto"/>
            <w:vAlign w:val="top"/>
          </w:tcPr>
          <w:p w14:paraId="30587B3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eastAsia="仿宋_GB2312" w:cs="Times New Roman"/>
                <w:i w:val="0"/>
                <w:iCs w:val="0"/>
                <w:color w:val="000000"/>
                <w:kern w:val="0"/>
                <w:sz w:val="24"/>
                <w:szCs w:val="24"/>
                <w:u w:val="none"/>
                <w:lang w:val="en-US" w:eastAsia="zh-CN" w:bidi="ar"/>
              </w:rPr>
              <w:t>571</w:t>
            </w:r>
          </w:p>
        </w:tc>
        <w:tc>
          <w:tcPr>
            <w:tcW w:w="1447" w:type="pct"/>
            <w:tcBorders>
              <w:tl2br w:val="nil"/>
              <w:tr2bl w:val="nil"/>
            </w:tcBorders>
            <w:shd w:val="clear" w:color="auto" w:fill="auto"/>
            <w:vAlign w:val="top"/>
          </w:tcPr>
          <w:p w14:paraId="27D0C65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能源</w:t>
            </w:r>
          </w:p>
        </w:tc>
      </w:tr>
      <w:tr w14:paraId="2A713C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446" w:type="pct"/>
            <w:tcBorders>
              <w:tl2br w:val="nil"/>
              <w:tr2bl w:val="nil"/>
            </w:tcBorders>
            <w:shd w:val="clear" w:color="auto" w:fill="auto"/>
            <w:vAlign w:val="top"/>
          </w:tcPr>
          <w:p w14:paraId="2454633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eastAsia="仿宋_GB2312" w:cs="Times New Roman"/>
                <w:i w:val="0"/>
                <w:iCs w:val="0"/>
                <w:color w:val="000000"/>
                <w:kern w:val="0"/>
                <w:sz w:val="24"/>
                <w:szCs w:val="24"/>
                <w:u w:val="none"/>
                <w:lang w:val="en-US" w:eastAsia="zh-CN" w:bidi="ar"/>
              </w:rPr>
              <w:t>天然气</w:t>
            </w:r>
          </w:p>
        </w:tc>
        <w:tc>
          <w:tcPr>
            <w:tcW w:w="873" w:type="pct"/>
            <w:tcBorders>
              <w:tl2br w:val="nil"/>
              <w:tr2bl w:val="nil"/>
            </w:tcBorders>
            <w:shd w:val="clear" w:color="auto" w:fill="auto"/>
            <w:vAlign w:val="top"/>
          </w:tcPr>
          <w:p w14:paraId="3FD204B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eastAsia="仿宋_GB2312" w:cs="Times New Roman"/>
                <w:i w:val="0"/>
                <w:iCs w:val="0"/>
                <w:color w:val="000000"/>
                <w:kern w:val="0"/>
                <w:sz w:val="24"/>
                <w:szCs w:val="24"/>
                <w:u w:val="none"/>
                <w:lang w:val="en-US" w:eastAsia="zh-CN" w:bidi="ar"/>
              </w:rPr>
              <w:t>万m³</w:t>
            </w:r>
          </w:p>
        </w:tc>
        <w:tc>
          <w:tcPr>
            <w:tcW w:w="1232" w:type="pct"/>
            <w:tcBorders>
              <w:tl2br w:val="nil"/>
              <w:tr2bl w:val="nil"/>
            </w:tcBorders>
            <w:shd w:val="clear" w:color="auto" w:fill="auto"/>
            <w:vAlign w:val="top"/>
          </w:tcPr>
          <w:p w14:paraId="7E0F74B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eastAsia="仿宋_GB2312" w:cs="Times New Roman"/>
                <w:i w:val="0"/>
                <w:iCs w:val="0"/>
                <w:color w:val="000000"/>
                <w:kern w:val="0"/>
                <w:sz w:val="24"/>
                <w:szCs w:val="24"/>
                <w:u w:val="none"/>
                <w:lang w:val="en-US" w:eastAsia="zh-CN" w:bidi="ar"/>
              </w:rPr>
              <w:t>0.69</w:t>
            </w:r>
          </w:p>
        </w:tc>
        <w:tc>
          <w:tcPr>
            <w:tcW w:w="1447" w:type="pct"/>
            <w:tcBorders>
              <w:tl2br w:val="nil"/>
              <w:tr2bl w:val="nil"/>
            </w:tcBorders>
            <w:shd w:val="clear" w:color="auto" w:fill="auto"/>
            <w:vAlign w:val="top"/>
          </w:tcPr>
          <w:p w14:paraId="00723CE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能源</w:t>
            </w:r>
          </w:p>
        </w:tc>
      </w:tr>
      <w:tr w14:paraId="429441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446" w:type="pct"/>
            <w:tcBorders>
              <w:tl2br w:val="nil"/>
              <w:tr2bl w:val="nil"/>
            </w:tcBorders>
            <w:shd w:val="clear" w:color="auto" w:fill="auto"/>
            <w:vAlign w:val="top"/>
          </w:tcPr>
          <w:p w14:paraId="5BA5F20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eastAsia="仿宋_GB2312" w:cs="Times New Roman"/>
                <w:i w:val="0"/>
                <w:iCs w:val="0"/>
                <w:color w:val="000000"/>
                <w:kern w:val="0"/>
                <w:sz w:val="24"/>
                <w:szCs w:val="24"/>
                <w:u w:val="none"/>
                <w:lang w:val="en-US" w:eastAsia="zh-CN" w:bidi="ar"/>
              </w:rPr>
            </w:pPr>
            <w:r>
              <w:rPr>
                <w:rFonts w:hint="eastAsia" w:eastAsia="仿宋_GB2312" w:cs="Times New Roman"/>
                <w:i w:val="0"/>
                <w:iCs w:val="0"/>
                <w:color w:val="000000"/>
                <w:kern w:val="0"/>
                <w:sz w:val="24"/>
                <w:szCs w:val="24"/>
                <w:u w:val="none"/>
                <w:lang w:val="en-US" w:eastAsia="zh-CN" w:bidi="ar"/>
              </w:rPr>
              <w:t>柴油</w:t>
            </w:r>
          </w:p>
        </w:tc>
        <w:tc>
          <w:tcPr>
            <w:tcW w:w="873" w:type="pct"/>
            <w:tcBorders>
              <w:tl2br w:val="nil"/>
              <w:tr2bl w:val="nil"/>
            </w:tcBorders>
            <w:shd w:val="clear" w:color="auto" w:fill="auto"/>
            <w:vAlign w:val="top"/>
          </w:tcPr>
          <w:p w14:paraId="4A059A6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eastAsia="仿宋_GB2312" w:cs="Times New Roman"/>
                <w:i w:val="0"/>
                <w:iCs w:val="0"/>
                <w:color w:val="000000"/>
                <w:kern w:val="0"/>
                <w:sz w:val="24"/>
                <w:szCs w:val="24"/>
                <w:u w:val="none"/>
                <w:lang w:val="en-US" w:eastAsia="zh-CN" w:bidi="ar"/>
              </w:rPr>
            </w:pPr>
            <w:r>
              <w:rPr>
                <w:rFonts w:hint="eastAsia" w:eastAsia="仿宋_GB2312" w:cs="Times New Roman"/>
                <w:i w:val="0"/>
                <w:iCs w:val="0"/>
                <w:color w:val="000000"/>
                <w:kern w:val="0"/>
                <w:sz w:val="24"/>
                <w:szCs w:val="24"/>
                <w:u w:val="none"/>
                <w:lang w:val="en-US" w:eastAsia="zh-CN" w:bidi="ar"/>
              </w:rPr>
              <w:t>t</w:t>
            </w:r>
          </w:p>
        </w:tc>
        <w:tc>
          <w:tcPr>
            <w:tcW w:w="1232" w:type="pct"/>
            <w:tcBorders>
              <w:tl2br w:val="nil"/>
              <w:tr2bl w:val="nil"/>
            </w:tcBorders>
            <w:shd w:val="clear" w:color="auto" w:fill="auto"/>
            <w:vAlign w:val="top"/>
          </w:tcPr>
          <w:p w14:paraId="1632AA2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eastAsia="仿宋_GB2312" w:cs="Times New Roman"/>
                <w:i w:val="0"/>
                <w:iCs w:val="0"/>
                <w:color w:val="000000"/>
                <w:kern w:val="0"/>
                <w:sz w:val="24"/>
                <w:szCs w:val="24"/>
                <w:u w:val="none"/>
                <w:lang w:val="en-US" w:eastAsia="zh-CN" w:bidi="ar"/>
              </w:rPr>
              <w:t>81.64</w:t>
            </w:r>
          </w:p>
        </w:tc>
        <w:tc>
          <w:tcPr>
            <w:tcW w:w="1447" w:type="pct"/>
            <w:tcBorders>
              <w:tl2br w:val="nil"/>
              <w:tr2bl w:val="nil"/>
            </w:tcBorders>
            <w:shd w:val="clear" w:color="auto" w:fill="auto"/>
            <w:vAlign w:val="top"/>
          </w:tcPr>
          <w:p w14:paraId="0251837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eastAsia="仿宋_GB2312" w:cs="Times New Roman"/>
                <w:i w:val="0"/>
                <w:iCs w:val="0"/>
                <w:color w:val="000000"/>
                <w:kern w:val="0"/>
                <w:sz w:val="24"/>
                <w:szCs w:val="24"/>
                <w:u w:val="none"/>
                <w:lang w:val="en-US" w:eastAsia="zh-CN" w:bidi="ar"/>
              </w:rPr>
              <w:t>能源</w:t>
            </w:r>
          </w:p>
        </w:tc>
      </w:tr>
    </w:tbl>
    <w:p w14:paraId="0174C7A2">
      <w:pPr>
        <w:bidi w:val="0"/>
        <w:rPr>
          <w:rFonts w:hint="default"/>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28F02789">
      <w:pPr>
        <w:pStyle w:val="4"/>
        <w:bidi w:val="0"/>
        <w:rPr>
          <w:rFonts w:hint="default" w:ascii="Times New Roman" w:hAnsi="Times New Roman" w:eastAsia="宋体"/>
          <w:lang w:val="en-US" w:eastAsia="en-US"/>
        </w:rPr>
      </w:pPr>
      <w:bookmarkStart w:id="12" w:name="_Toc28304"/>
      <w:r>
        <w:rPr>
          <w:rFonts w:hint="default" w:ascii="Times New Roman" w:hAnsi="Times New Roman" w:eastAsia="宋体"/>
          <w:lang w:val="en-US" w:eastAsia="en-US"/>
        </w:rPr>
        <w:t>4</w:t>
      </w:r>
      <w:r>
        <w:rPr>
          <w:rFonts w:hint="default" w:ascii="Times New Roman" w:hAnsi="Times New Roman" w:eastAsia="宋体"/>
          <w:lang w:val="en-US" w:eastAsia="zh-CN"/>
        </w:rPr>
        <w:t>.</w:t>
      </w:r>
      <w:r>
        <w:rPr>
          <w:rFonts w:hint="default" w:ascii="Times New Roman" w:hAnsi="Times New Roman" w:eastAsia="宋体"/>
          <w:lang w:val="en-US" w:eastAsia="en-US"/>
        </w:rPr>
        <w:t>碳足迹计算</w:t>
      </w:r>
      <w:bookmarkEnd w:id="12"/>
    </w:p>
    <w:p w14:paraId="0CA94A4B">
      <w:pPr>
        <w:pStyle w:val="5"/>
        <w:bidi w:val="0"/>
        <w:rPr>
          <w:rFonts w:hint="default" w:ascii="Times New Roman" w:hAnsi="Times New Roman" w:eastAsia="仿宋_GB2312" w:cs="Times New Roman"/>
          <w:snapToGrid w:val="0"/>
          <w:color w:val="000000"/>
          <w:kern w:val="0"/>
          <w:sz w:val="31"/>
          <w:szCs w:val="31"/>
          <w:lang w:eastAsia="en-US"/>
        </w:rPr>
      </w:pPr>
      <w:bookmarkStart w:id="13" w:name="bookmark28"/>
      <w:bookmarkEnd w:id="13"/>
      <w:bookmarkStart w:id="14" w:name="_Toc10634"/>
      <w:r>
        <w:rPr>
          <w:rFonts w:hint="default" w:ascii="Times New Roman" w:hAnsi="Times New Roman" w:eastAsia="仿宋_GB2312" w:cs="Times New Roman"/>
          <w:b/>
          <w:bCs/>
          <w:snapToGrid w:val="0"/>
          <w:color w:val="000000"/>
          <w:spacing w:val="4"/>
          <w:kern w:val="0"/>
          <w:sz w:val="31"/>
          <w:szCs w:val="31"/>
          <w:lang w:eastAsia="en-US"/>
        </w:rPr>
        <w:t>4.1计算公式</w:t>
      </w:r>
      <w:bookmarkEnd w:id="14"/>
    </w:p>
    <w:p w14:paraId="79B3750D">
      <w:pPr>
        <w:bidi w:val="0"/>
        <w:rPr>
          <w:rFonts w:hint="default" w:ascii="Times New Roman" w:hAnsi="Times New Roman" w:eastAsia="仿宋_GB2312" w:cs="Times New Roman"/>
          <w:sz w:val="28"/>
          <w:szCs w:val="28"/>
          <w:lang w:eastAsia="en-US"/>
        </w:rPr>
      </w:pPr>
      <w:r>
        <w:rPr>
          <w:rFonts w:hint="default" w:ascii="Times New Roman" w:hAnsi="Times New Roman" w:eastAsia="仿宋_GB2312" w:cs="Times New Roman"/>
          <w:sz w:val="28"/>
          <w:szCs w:val="28"/>
          <w:lang w:eastAsia="en-US"/>
        </w:rPr>
        <w:t>产品碳足迹的公式是整个产品生命周期中所有活动的所有材料、能源和废物乘以其排放因子后再加和。其计算公式如下：</w:t>
      </w:r>
    </w:p>
    <w:p w14:paraId="1F540B79">
      <w:pPr>
        <w:widowControl/>
        <w:kinsoku w:val="0"/>
        <w:autoSpaceDE w:val="0"/>
        <w:autoSpaceDN w:val="0"/>
        <w:spacing w:line="825" w:lineRule="exact"/>
        <w:ind w:firstLine="753" w:firstLineChars="0"/>
        <w:jc w:val="left"/>
        <w:textAlignment w:val="baseline"/>
        <w:rPr>
          <w:rFonts w:hint="default" w:ascii="Times New Roman" w:hAnsi="Times New Roman" w:eastAsia="仿宋_GB2312" w:cs="Times New Roman"/>
          <w:snapToGrid w:val="0"/>
          <w:color w:val="000000"/>
          <w:kern w:val="0"/>
          <w:sz w:val="28"/>
          <w:szCs w:val="28"/>
          <w:lang w:eastAsia="en-US"/>
        </w:rPr>
      </w:pPr>
      <w:r>
        <w:rPr>
          <w:rFonts w:hint="default" w:ascii="Times New Roman" w:hAnsi="Times New Roman" w:eastAsia="仿宋_GB2312" w:cs="Times New Roman"/>
          <w:snapToGrid w:val="0"/>
          <w:color w:val="000000"/>
          <w:kern w:val="0"/>
          <w:position w:val="-16"/>
          <w:sz w:val="28"/>
          <w:szCs w:val="28"/>
          <w:lang w:eastAsia="en-US"/>
        </w:rPr>
        <w:drawing>
          <wp:inline distT="0" distB="0" distL="0" distR="0">
            <wp:extent cx="4405630" cy="523875"/>
            <wp:effectExtent l="0" t="0" r="13970" b="9525"/>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9"/>
                    <a:stretch>
                      <a:fillRect/>
                    </a:stretch>
                  </pic:blipFill>
                  <pic:spPr>
                    <a:xfrm>
                      <a:off x="0" y="0"/>
                      <a:ext cx="4405883" cy="524256"/>
                    </a:xfrm>
                    <a:prstGeom prst="rect">
                      <a:avLst/>
                    </a:prstGeom>
                  </pic:spPr>
                </pic:pic>
              </a:graphicData>
            </a:graphic>
          </wp:inline>
        </w:drawing>
      </w:r>
    </w:p>
    <w:p w14:paraId="3FA9AC5B">
      <w:pPr>
        <w:bidi w:val="0"/>
        <w:rPr>
          <w:rFonts w:hint="default" w:ascii="Times New Roman" w:hAnsi="Times New Roman" w:eastAsia="仿宋_GB2312" w:cs="Times New Roman"/>
          <w:lang w:eastAsia="en-US"/>
        </w:rPr>
      </w:pPr>
      <w:r>
        <w:rPr>
          <w:rFonts w:hint="default" w:ascii="Times New Roman" w:hAnsi="Times New Roman" w:eastAsia="仿宋_GB2312" w:cs="Times New Roman"/>
          <w:sz w:val="28"/>
          <w:szCs w:val="28"/>
          <w:lang w:eastAsia="en-US"/>
        </w:rPr>
        <w:t>其中，CF为碳足迹，P为活动水平数据，Q为排放因子，GWP为全球变暖潜势值。排放因子源于CLCD数据库和相关文献，由于部分物料数据库中暂无排放因子，取值均来自于相近物料排放因子。</w:t>
      </w:r>
    </w:p>
    <w:p w14:paraId="0073ABF0">
      <w:pPr>
        <w:pStyle w:val="5"/>
        <w:bidi w:val="0"/>
        <w:rPr>
          <w:rFonts w:hint="default" w:ascii="Times New Roman" w:hAnsi="Times New Roman" w:eastAsia="仿宋_GB2312" w:cs="Times New Roman"/>
          <w:snapToGrid w:val="0"/>
          <w:color w:val="000000"/>
          <w:kern w:val="0"/>
          <w:sz w:val="31"/>
          <w:szCs w:val="31"/>
          <w:lang w:eastAsia="en-US"/>
        </w:rPr>
      </w:pPr>
      <w:bookmarkStart w:id="15" w:name="bookmark31"/>
      <w:bookmarkEnd w:id="15"/>
      <w:bookmarkStart w:id="16" w:name="bookmark30"/>
      <w:bookmarkEnd w:id="16"/>
      <w:bookmarkStart w:id="17" w:name="_Toc28878"/>
      <w:r>
        <w:rPr>
          <w:rFonts w:hint="default" w:ascii="Times New Roman" w:hAnsi="Times New Roman" w:eastAsia="仿宋_GB2312" w:cs="Times New Roman"/>
          <w:b/>
          <w:bCs/>
          <w:snapToGrid w:val="0"/>
          <w:color w:val="000000"/>
          <w:spacing w:val="4"/>
          <w:kern w:val="0"/>
          <w:sz w:val="31"/>
          <w:szCs w:val="31"/>
          <w:lang w:eastAsia="en-US"/>
        </w:rPr>
        <w:t>4.2产品碳足迹</w:t>
      </w:r>
      <w:bookmarkEnd w:id="17"/>
    </w:p>
    <w:p w14:paraId="07369E0D">
      <w:pPr>
        <w:bidi w:val="0"/>
        <w:rPr>
          <w:rFonts w:hint="default" w:ascii="Times New Roman" w:hAnsi="Times New Roman" w:eastAsia="仿宋_GB2312" w:cs="Times New Roman"/>
          <w:sz w:val="28"/>
          <w:szCs w:val="28"/>
          <w:lang w:eastAsia="en-US"/>
        </w:rPr>
      </w:pPr>
      <w:r>
        <w:rPr>
          <w:rFonts w:hint="default" w:ascii="Times New Roman" w:hAnsi="Times New Roman" w:eastAsia="仿宋_GB2312" w:cs="Times New Roman"/>
          <w:sz w:val="28"/>
          <w:szCs w:val="28"/>
          <w:lang w:eastAsia="en-US"/>
        </w:rPr>
        <w:t>根据以上各项数据，202</w:t>
      </w:r>
      <w:r>
        <w:rPr>
          <w:rFonts w:hint="default" w:ascii="Times New Roman" w:hAnsi="Times New Roman" w:eastAsia="仿宋_GB2312" w:cs="Times New Roman"/>
          <w:sz w:val="28"/>
          <w:szCs w:val="28"/>
          <w:lang w:val="en-US" w:eastAsia="zh-CN"/>
        </w:rPr>
        <w:t>4</w:t>
      </w:r>
      <w:r>
        <w:rPr>
          <w:rFonts w:hint="default" w:ascii="Times New Roman" w:hAnsi="Times New Roman" w:eastAsia="仿宋_GB2312" w:cs="Times New Roman"/>
          <w:sz w:val="28"/>
          <w:szCs w:val="28"/>
          <w:lang w:eastAsia="en-US"/>
        </w:rPr>
        <w:t>年</w:t>
      </w:r>
      <w:r>
        <w:rPr>
          <w:rFonts w:hint="eastAsia" w:eastAsia="仿宋_GB2312" w:cs="Times New Roman"/>
          <w:sz w:val="28"/>
          <w:szCs w:val="28"/>
          <w:lang w:val="en-US" w:eastAsia="zh-CN"/>
        </w:rPr>
        <w:t>安徽汉马发动机有限公司</w:t>
      </w:r>
      <w:r>
        <w:rPr>
          <w:rFonts w:hint="default" w:ascii="Times New Roman" w:hAnsi="Times New Roman" w:eastAsia="仿宋_GB2312" w:cs="Times New Roman"/>
          <w:sz w:val="28"/>
          <w:szCs w:val="28"/>
          <w:lang w:eastAsia="en-US"/>
        </w:rPr>
        <w:t>碳足迹如下表所示：</w:t>
      </w:r>
    </w:p>
    <w:p w14:paraId="71FC33CC">
      <w:pPr>
        <w:bidi w:val="0"/>
        <w:jc w:val="center"/>
        <w:rPr>
          <w:rFonts w:hint="default" w:ascii="Times New Roman" w:hAnsi="Times New Roman" w:eastAsia="仿宋_GB2312" w:cs="Times New Roman"/>
          <w:b/>
          <w:bCs/>
          <w:color w:val="000000" w:themeColor="text1"/>
          <w:lang w:val="en-US" w:eastAsia="zh-CN"/>
          <w14:textFill>
            <w14:solidFill>
              <w14:schemeClr w14:val="tx1"/>
            </w14:solidFill>
          </w14:textFill>
        </w:rPr>
      </w:pPr>
      <w:r>
        <w:rPr>
          <w:rFonts w:hint="default" w:ascii="Times New Roman" w:hAnsi="Times New Roman" w:eastAsia="仿宋_GB2312" w:cs="Times New Roman"/>
          <w:b/>
          <w:bCs/>
          <w:color w:val="000000" w:themeColor="text1"/>
          <w:lang w:val="en-US" w:eastAsia="zh-CN"/>
          <w14:textFill>
            <w14:solidFill>
              <w14:schemeClr w14:val="tx1"/>
            </w14:solidFill>
          </w14:textFill>
        </w:rPr>
        <w:t>表4.1产品能源水平数据</w:t>
      </w:r>
    </w:p>
    <w:tbl>
      <w:tblPr>
        <w:tblStyle w:val="13"/>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840"/>
        <w:gridCol w:w="1590"/>
        <w:gridCol w:w="1576"/>
        <w:gridCol w:w="1396"/>
        <w:gridCol w:w="1117"/>
      </w:tblGrid>
      <w:tr w14:paraId="60E397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682" w:type="pct"/>
            <w:vMerge w:val="restart"/>
            <w:tcBorders>
              <w:top w:val="single" w:color="000000" w:sz="12" w:space="0"/>
              <w:left w:val="single" w:color="000000" w:sz="12" w:space="0"/>
              <w:bottom w:val="single" w:color="000000" w:sz="4" w:space="0"/>
              <w:right w:val="single" w:color="000000" w:sz="4" w:space="0"/>
            </w:tcBorders>
            <w:shd w:val="clear" w:color="auto" w:fill="auto"/>
            <w:vAlign w:val="center"/>
          </w:tcPr>
          <w:p w14:paraId="32ED6000">
            <w:pPr>
              <w:pStyle w:val="17"/>
              <w:bidi w:val="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项目</w:t>
            </w:r>
          </w:p>
        </w:tc>
        <w:tc>
          <w:tcPr>
            <w:tcW w:w="2722" w:type="pct"/>
            <w:gridSpan w:val="3"/>
            <w:tcBorders>
              <w:top w:val="single" w:color="000000" w:sz="12" w:space="0"/>
              <w:left w:val="single" w:color="000000" w:sz="4" w:space="0"/>
              <w:bottom w:val="single" w:color="000000" w:sz="4" w:space="0"/>
              <w:right w:val="single" w:color="000000" w:sz="4" w:space="0"/>
            </w:tcBorders>
            <w:shd w:val="clear" w:color="auto" w:fill="auto"/>
            <w:vAlign w:val="center"/>
          </w:tcPr>
          <w:p w14:paraId="66B02544">
            <w:pPr>
              <w:pStyle w:val="17"/>
              <w:bidi w:val="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总计</w:t>
            </w:r>
          </w:p>
        </w:tc>
        <w:tc>
          <w:tcPr>
            <w:tcW w:w="595" w:type="pct"/>
            <w:vMerge w:val="restart"/>
            <w:tcBorders>
              <w:top w:val="single" w:color="000000" w:sz="12" w:space="0"/>
              <w:left w:val="single" w:color="000000" w:sz="4" w:space="0"/>
              <w:bottom w:val="single" w:color="000000" w:sz="4" w:space="0"/>
              <w:right w:val="single" w:color="000000" w:sz="12" w:space="0"/>
            </w:tcBorders>
            <w:shd w:val="clear" w:color="auto" w:fill="auto"/>
            <w:vAlign w:val="center"/>
          </w:tcPr>
          <w:p w14:paraId="32CB5C10">
            <w:pPr>
              <w:pStyle w:val="17"/>
              <w:bidi w:val="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合计</w:t>
            </w:r>
          </w:p>
        </w:tc>
      </w:tr>
      <w:tr w14:paraId="2CE167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682" w:type="pct"/>
            <w:vMerge w:val="continue"/>
            <w:tcBorders>
              <w:top w:val="single" w:color="000000" w:sz="4" w:space="0"/>
              <w:left w:val="single" w:color="000000" w:sz="12" w:space="0"/>
              <w:bottom w:val="single" w:color="000000" w:sz="4" w:space="0"/>
              <w:right w:val="single" w:color="000000" w:sz="4" w:space="0"/>
            </w:tcBorders>
            <w:shd w:val="clear" w:color="auto" w:fill="auto"/>
            <w:vAlign w:val="center"/>
          </w:tcPr>
          <w:p w14:paraId="5235DF32">
            <w:pPr>
              <w:pStyle w:val="17"/>
              <w:bidi w:val="0"/>
              <w:rPr>
                <w:rFonts w:hint="default" w:ascii="Times New Roman" w:hAnsi="Times New Roman" w:eastAsia="仿宋_GB2312" w:cs="Times New Roman"/>
                <w:sz w:val="24"/>
                <w:szCs w:val="24"/>
              </w:rPr>
            </w:pPr>
          </w:p>
        </w:tc>
        <w:tc>
          <w:tcPr>
            <w:tcW w:w="9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696142">
            <w:pPr>
              <w:pStyle w:val="17"/>
              <w:bidi w:val="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原材料获取阶段</w:t>
            </w:r>
          </w:p>
        </w:tc>
        <w:tc>
          <w:tcPr>
            <w:tcW w:w="9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4850C">
            <w:pPr>
              <w:pStyle w:val="17"/>
              <w:bidi w:val="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原材料运输阶段</w:t>
            </w:r>
          </w:p>
        </w:tc>
        <w:tc>
          <w:tcPr>
            <w:tcW w:w="8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4AEF32">
            <w:pPr>
              <w:pStyle w:val="17"/>
              <w:bidi w:val="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生产制造阶段</w:t>
            </w:r>
          </w:p>
        </w:tc>
        <w:tc>
          <w:tcPr>
            <w:tcW w:w="595" w:type="pct"/>
            <w:vMerge w:val="continue"/>
            <w:tcBorders>
              <w:top w:val="single" w:color="000000" w:sz="4" w:space="0"/>
              <w:left w:val="single" w:color="000000" w:sz="4" w:space="0"/>
              <w:bottom w:val="single" w:color="000000" w:sz="4" w:space="0"/>
              <w:right w:val="single" w:color="000000" w:sz="12" w:space="0"/>
            </w:tcBorders>
            <w:shd w:val="clear" w:color="auto" w:fill="auto"/>
            <w:vAlign w:val="center"/>
          </w:tcPr>
          <w:p w14:paraId="0DD403FD">
            <w:pPr>
              <w:pStyle w:val="17"/>
              <w:bidi w:val="0"/>
              <w:rPr>
                <w:rFonts w:hint="default" w:ascii="Times New Roman" w:hAnsi="Times New Roman" w:eastAsia="仿宋_GB2312" w:cs="Times New Roman"/>
                <w:sz w:val="24"/>
                <w:szCs w:val="24"/>
              </w:rPr>
            </w:pPr>
          </w:p>
        </w:tc>
      </w:tr>
      <w:tr w14:paraId="123C92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682" w:type="pct"/>
            <w:tcBorders>
              <w:top w:val="single" w:color="000000" w:sz="4" w:space="0"/>
              <w:left w:val="single" w:color="000000" w:sz="12" w:space="0"/>
              <w:bottom w:val="single" w:color="000000" w:sz="4" w:space="0"/>
              <w:right w:val="single" w:color="000000" w:sz="4" w:space="0"/>
            </w:tcBorders>
            <w:shd w:val="clear" w:color="auto" w:fill="auto"/>
            <w:vAlign w:val="center"/>
          </w:tcPr>
          <w:p w14:paraId="1A427445">
            <w:pPr>
              <w:pStyle w:val="18"/>
              <w:bidi w:val="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生命周期各阶段排放（tCO</w:t>
            </w:r>
            <w:r>
              <w:rPr>
                <w:rFonts w:hint="default" w:ascii="Times New Roman" w:hAnsi="Times New Roman" w:eastAsia="仿宋_GB2312" w:cs="Times New Roman"/>
                <w:sz w:val="24"/>
                <w:szCs w:val="24"/>
                <w:vertAlign w:val="subscript"/>
                <w:lang w:val="en-US" w:eastAsia="zh-CN"/>
              </w:rPr>
              <w:t>2</w:t>
            </w:r>
            <w:r>
              <w:rPr>
                <w:rFonts w:hint="default" w:ascii="Times New Roman" w:hAnsi="Times New Roman" w:eastAsia="仿宋_GB2312" w:cs="Times New Roman"/>
                <w:sz w:val="24"/>
                <w:szCs w:val="24"/>
                <w:lang w:val="en-US" w:eastAsia="zh-CN"/>
              </w:rPr>
              <w:t>e）</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E9751">
            <w:pPr>
              <w:pStyle w:val="18"/>
              <w:bidi w:val="0"/>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14613.29</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1C37D">
            <w:pPr>
              <w:pStyle w:val="18"/>
              <w:bidi w:val="0"/>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1315.67</w:t>
            </w:r>
          </w:p>
        </w:tc>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5C790">
            <w:pPr>
              <w:pStyle w:val="18"/>
              <w:bidi w:val="0"/>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3887.47</w:t>
            </w:r>
          </w:p>
        </w:tc>
        <w:tc>
          <w:tcPr>
            <w:tcW w:w="1014" w:type="dxa"/>
            <w:tcBorders>
              <w:top w:val="single" w:color="000000" w:sz="4" w:space="0"/>
              <w:left w:val="single" w:color="000000" w:sz="4" w:space="0"/>
              <w:bottom w:val="single" w:color="000000" w:sz="4" w:space="0"/>
              <w:right w:val="single" w:color="000000" w:sz="12" w:space="0"/>
            </w:tcBorders>
            <w:shd w:val="clear" w:color="auto" w:fill="auto"/>
            <w:vAlign w:val="center"/>
          </w:tcPr>
          <w:p w14:paraId="6EC0FC0D">
            <w:pPr>
              <w:pStyle w:val="18"/>
              <w:bidi w:val="0"/>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19816.43</w:t>
            </w:r>
          </w:p>
        </w:tc>
      </w:tr>
      <w:tr w14:paraId="00C435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682" w:type="pct"/>
            <w:tcBorders>
              <w:top w:val="single" w:color="000000" w:sz="4" w:space="0"/>
              <w:left w:val="single" w:color="000000" w:sz="12" w:space="0"/>
              <w:bottom w:val="single" w:color="000000" w:sz="4" w:space="0"/>
              <w:right w:val="single" w:color="000000" w:sz="4" w:space="0"/>
            </w:tcBorders>
            <w:shd w:val="clear" w:color="auto" w:fill="auto"/>
            <w:vAlign w:val="center"/>
          </w:tcPr>
          <w:p w14:paraId="71602A85">
            <w:pPr>
              <w:pStyle w:val="18"/>
              <w:bidi w:val="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各阶段排放占比（%）</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58F6F">
            <w:pPr>
              <w:pStyle w:val="18"/>
              <w:bidi w:val="0"/>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73.74%</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4CB01">
            <w:pPr>
              <w:pStyle w:val="18"/>
              <w:bidi w:val="0"/>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6.64%</w:t>
            </w:r>
          </w:p>
        </w:tc>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218C6">
            <w:pPr>
              <w:pStyle w:val="18"/>
              <w:bidi w:val="0"/>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19.62%</w:t>
            </w:r>
          </w:p>
        </w:tc>
        <w:tc>
          <w:tcPr>
            <w:tcW w:w="1014" w:type="dxa"/>
            <w:tcBorders>
              <w:top w:val="single" w:color="000000" w:sz="4" w:space="0"/>
              <w:left w:val="single" w:color="000000" w:sz="4" w:space="0"/>
              <w:bottom w:val="single" w:color="000000" w:sz="4" w:space="0"/>
              <w:right w:val="single" w:color="000000" w:sz="12" w:space="0"/>
            </w:tcBorders>
            <w:shd w:val="clear" w:color="auto" w:fill="auto"/>
            <w:vAlign w:val="center"/>
          </w:tcPr>
          <w:p w14:paraId="105FA2A5">
            <w:pPr>
              <w:pStyle w:val="18"/>
              <w:bidi w:val="0"/>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100%</w:t>
            </w:r>
          </w:p>
        </w:tc>
      </w:tr>
      <w:tr w14:paraId="1D2853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682" w:type="pct"/>
            <w:tcBorders>
              <w:top w:val="single" w:color="000000" w:sz="4" w:space="0"/>
              <w:left w:val="single" w:color="000000" w:sz="12" w:space="0"/>
              <w:bottom w:val="single" w:color="000000" w:sz="4" w:space="0"/>
              <w:right w:val="single" w:color="000000" w:sz="4" w:space="0"/>
            </w:tcBorders>
            <w:shd w:val="clear" w:color="auto" w:fill="auto"/>
            <w:vAlign w:val="center"/>
          </w:tcPr>
          <w:p w14:paraId="060DEA6F">
            <w:pPr>
              <w:pStyle w:val="18"/>
              <w:bidi w:val="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产量（</w:t>
            </w:r>
            <w:r>
              <w:rPr>
                <w:rFonts w:hint="eastAsia" w:eastAsia="仿宋_GB2312" w:cs="Times New Roman"/>
                <w:sz w:val="24"/>
                <w:szCs w:val="24"/>
                <w:lang w:val="en-US" w:eastAsia="zh-CN"/>
              </w:rPr>
              <w:t>台</w:t>
            </w:r>
            <w:r>
              <w:rPr>
                <w:rFonts w:hint="default" w:ascii="Times New Roman" w:hAnsi="Times New Roman" w:eastAsia="仿宋_GB2312" w:cs="Times New Roman"/>
                <w:sz w:val="24"/>
                <w:szCs w:val="24"/>
                <w:lang w:val="en-US" w:eastAsia="zh-CN"/>
              </w:rPr>
              <w:t>）</w:t>
            </w:r>
          </w:p>
        </w:tc>
        <w:tc>
          <w:tcPr>
            <w:tcW w:w="46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D377D2">
            <w:pPr>
              <w:pStyle w:val="18"/>
              <w:bidi w:val="0"/>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6081</w:t>
            </w:r>
          </w:p>
        </w:tc>
        <w:tc>
          <w:tcPr>
            <w:tcW w:w="1014" w:type="dxa"/>
            <w:tcBorders>
              <w:top w:val="single" w:color="000000" w:sz="4" w:space="0"/>
              <w:left w:val="single" w:color="000000" w:sz="4" w:space="0"/>
              <w:bottom w:val="single" w:color="000000" w:sz="4" w:space="0"/>
              <w:right w:val="single" w:color="000000" w:sz="12" w:space="0"/>
            </w:tcBorders>
            <w:shd w:val="clear" w:color="auto" w:fill="auto"/>
            <w:vAlign w:val="center"/>
          </w:tcPr>
          <w:p w14:paraId="274BFBD9">
            <w:pPr>
              <w:pStyle w:val="18"/>
              <w:bidi w:val="0"/>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6081</w:t>
            </w:r>
          </w:p>
        </w:tc>
      </w:tr>
      <w:tr w14:paraId="7A9F23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682" w:type="pct"/>
            <w:tcBorders>
              <w:top w:val="single" w:color="000000" w:sz="4" w:space="0"/>
              <w:left w:val="single" w:color="000000" w:sz="12" w:space="0"/>
              <w:bottom w:val="single" w:color="000000" w:sz="12" w:space="0"/>
              <w:right w:val="single" w:color="000000" w:sz="4" w:space="0"/>
            </w:tcBorders>
            <w:shd w:val="clear" w:color="auto" w:fill="auto"/>
            <w:vAlign w:val="center"/>
          </w:tcPr>
          <w:p w14:paraId="6057B175">
            <w:pPr>
              <w:pStyle w:val="18"/>
              <w:bidi w:val="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产品碳足迹（kgCO</w:t>
            </w:r>
            <w:r>
              <w:rPr>
                <w:rFonts w:hint="default" w:ascii="Times New Roman" w:hAnsi="Times New Roman" w:eastAsia="仿宋_GB2312" w:cs="Times New Roman"/>
                <w:sz w:val="24"/>
                <w:szCs w:val="24"/>
                <w:vertAlign w:val="subscript"/>
                <w:lang w:val="en-US" w:eastAsia="zh-CN"/>
              </w:rPr>
              <w:t>2</w:t>
            </w:r>
            <w:r>
              <w:rPr>
                <w:rFonts w:hint="default" w:ascii="Times New Roman" w:hAnsi="Times New Roman" w:eastAsia="仿宋_GB2312" w:cs="Times New Roman"/>
                <w:sz w:val="24"/>
                <w:szCs w:val="24"/>
                <w:lang w:val="en-US" w:eastAsia="zh-CN"/>
              </w:rPr>
              <w:t>/</w:t>
            </w:r>
            <w:r>
              <w:rPr>
                <w:rFonts w:hint="eastAsia" w:eastAsia="仿宋_GB2312" w:cs="Times New Roman"/>
                <w:sz w:val="24"/>
                <w:szCs w:val="24"/>
                <w:lang w:val="en-US" w:eastAsia="zh-CN"/>
              </w:rPr>
              <w:t>台</w:t>
            </w:r>
            <w:r>
              <w:rPr>
                <w:rFonts w:hint="default" w:ascii="Times New Roman" w:hAnsi="Times New Roman" w:eastAsia="仿宋_GB2312" w:cs="Times New Roman"/>
                <w:sz w:val="24"/>
                <w:szCs w:val="24"/>
                <w:lang w:val="en-US" w:eastAsia="zh-CN"/>
              </w:rPr>
              <w:t>）</w:t>
            </w:r>
          </w:p>
        </w:tc>
        <w:tc>
          <w:tcPr>
            <w:tcW w:w="1616" w:type="dxa"/>
            <w:tcBorders>
              <w:top w:val="single" w:color="000000" w:sz="4" w:space="0"/>
              <w:left w:val="single" w:color="000000" w:sz="4" w:space="0"/>
              <w:bottom w:val="single" w:color="000000" w:sz="12" w:space="0"/>
              <w:right w:val="single" w:color="000000" w:sz="4" w:space="0"/>
            </w:tcBorders>
            <w:shd w:val="clear" w:color="auto" w:fill="auto"/>
            <w:vAlign w:val="center"/>
          </w:tcPr>
          <w:p w14:paraId="3E5C0AB6">
            <w:pPr>
              <w:pStyle w:val="18"/>
              <w:bidi w:val="0"/>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 xml:space="preserve">2403.11 </w:t>
            </w:r>
          </w:p>
        </w:tc>
        <w:tc>
          <w:tcPr>
            <w:tcW w:w="1602" w:type="dxa"/>
            <w:tcBorders>
              <w:top w:val="single" w:color="000000" w:sz="4" w:space="0"/>
              <w:left w:val="single" w:color="000000" w:sz="4" w:space="0"/>
              <w:bottom w:val="single" w:color="000000" w:sz="12" w:space="0"/>
              <w:right w:val="single" w:color="000000" w:sz="4" w:space="0"/>
            </w:tcBorders>
            <w:shd w:val="clear" w:color="auto" w:fill="auto"/>
            <w:vAlign w:val="center"/>
          </w:tcPr>
          <w:p w14:paraId="6230E194">
            <w:pPr>
              <w:pStyle w:val="18"/>
              <w:bidi w:val="0"/>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 xml:space="preserve">216.36 </w:t>
            </w:r>
          </w:p>
        </w:tc>
        <w:tc>
          <w:tcPr>
            <w:tcW w:w="1421" w:type="dxa"/>
            <w:tcBorders>
              <w:top w:val="single" w:color="000000" w:sz="4" w:space="0"/>
              <w:left w:val="single" w:color="000000" w:sz="4" w:space="0"/>
              <w:bottom w:val="single" w:color="000000" w:sz="12" w:space="0"/>
              <w:right w:val="single" w:color="000000" w:sz="4" w:space="0"/>
            </w:tcBorders>
            <w:shd w:val="clear" w:color="auto" w:fill="auto"/>
            <w:vAlign w:val="center"/>
          </w:tcPr>
          <w:p w14:paraId="32322BDA">
            <w:pPr>
              <w:pStyle w:val="18"/>
              <w:bidi w:val="0"/>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 xml:space="preserve">639.28 </w:t>
            </w:r>
          </w:p>
        </w:tc>
        <w:tc>
          <w:tcPr>
            <w:tcW w:w="1014" w:type="dxa"/>
            <w:tcBorders>
              <w:top w:val="single" w:color="000000" w:sz="4" w:space="0"/>
              <w:left w:val="single" w:color="000000" w:sz="4" w:space="0"/>
              <w:bottom w:val="single" w:color="000000" w:sz="12" w:space="0"/>
              <w:right w:val="single" w:color="000000" w:sz="12" w:space="0"/>
            </w:tcBorders>
            <w:shd w:val="clear" w:color="auto" w:fill="auto"/>
            <w:vAlign w:val="center"/>
          </w:tcPr>
          <w:p w14:paraId="2C406D83">
            <w:pPr>
              <w:pStyle w:val="18"/>
              <w:bidi w:val="0"/>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 xml:space="preserve">3258.75 </w:t>
            </w:r>
          </w:p>
        </w:tc>
      </w:tr>
    </w:tbl>
    <w:p w14:paraId="01B5CDE0">
      <w:pPr>
        <w:pStyle w:val="15"/>
        <w:bidi w:val="0"/>
        <w:rPr>
          <w:rFonts w:hint="default"/>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36D0DDD0">
      <w:pPr>
        <w:pStyle w:val="4"/>
        <w:bidi w:val="0"/>
        <w:rPr>
          <w:rFonts w:hint="default"/>
          <w:lang w:val="en-US" w:eastAsia="zh-CN"/>
        </w:rPr>
      </w:pPr>
      <w:bookmarkStart w:id="18" w:name="_Toc9303"/>
      <w:r>
        <w:rPr>
          <w:rFonts w:hint="default"/>
          <w:lang w:val="en-US" w:eastAsia="zh-CN"/>
        </w:rPr>
        <w:t>5</w:t>
      </w:r>
      <w:r>
        <w:rPr>
          <w:rFonts w:hint="eastAsia"/>
          <w:lang w:val="en-US" w:eastAsia="zh-CN"/>
        </w:rPr>
        <w:t>.</w:t>
      </w:r>
      <w:r>
        <w:rPr>
          <w:rFonts w:hint="default"/>
          <w:lang w:val="en-US" w:eastAsia="zh-CN"/>
        </w:rPr>
        <w:t>生命周期影响分析</w:t>
      </w:r>
      <w:bookmarkEnd w:id="18"/>
    </w:p>
    <w:p w14:paraId="41A18240">
      <w:pPr>
        <w:pStyle w:val="5"/>
        <w:bidi w:val="0"/>
        <w:rPr>
          <w:rFonts w:hint="default"/>
          <w:lang w:val="en-US" w:eastAsia="zh-CN"/>
        </w:rPr>
      </w:pPr>
      <w:bookmarkStart w:id="19" w:name="_Toc22509"/>
      <w:r>
        <w:rPr>
          <w:rFonts w:hint="default"/>
          <w:lang w:val="en-US" w:eastAsia="zh-CN"/>
        </w:rPr>
        <w:t>5.1产品碳足迹结果</w:t>
      </w:r>
      <w:bookmarkEnd w:id="19"/>
    </w:p>
    <w:p w14:paraId="7D66C92E">
      <w:pPr>
        <w:bidi w:val="0"/>
        <w:rPr>
          <w:rFonts w:hint="default" w:ascii="Times New Roman" w:hAnsi="Times New Roman" w:eastAsia="仿宋_GB2312" w:cs="Times New Roman"/>
          <w:color w:val="000000" w:themeColor="text1"/>
          <w:lang w:val="en-US" w:eastAsia="zh-CN"/>
          <w14:textFill>
            <w14:solidFill>
              <w14:schemeClr w14:val="tx1"/>
            </w14:solidFill>
          </w14:textFill>
        </w:rPr>
      </w:pPr>
      <w:r>
        <w:rPr>
          <w:rFonts w:hint="default" w:ascii="Times New Roman" w:hAnsi="Times New Roman" w:eastAsia="仿宋_GB2312" w:cs="Times New Roman"/>
          <w:lang w:val="en-US" w:eastAsia="zh-CN"/>
        </w:rPr>
        <w:t>公司生产</w:t>
      </w:r>
      <w:r>
        <w:rPr>
          <w:rFonts w:hint="eastAsia" w:eastAsia="仿宋_GB2312" w:cs="Times New Roman"/>
          <w:lang w:val="en-US" w:eastAsia="zh-CN"/>
        </w:rPr>
        <w:t>1台甲醇系列发动机</w:t>
      </w:r>
      <w:r>
        <w:rPr>
          <w:rFonts w:hint="default" w:ascii="Times New Roman" w:hAnsi="Times New Roman" w:eastAsia="仿宋_GB2312" w:cs="Times New Roman"/>
          <w:lang w:val="en-US" w:eastAsia="zh-CN"/>
        </w:rPr>
        <w:t>的碳足迹结果，结</w:t>
      </w:r>
      <w:r>
        <w:rPr>
          <w:rFonts w:hint="default" w:ascii="Times New Roman" w:hAnsi="Times New Roman" w:eastAsia="仿宋_GB2312" w:cs="Times New Roman"/>
          <w:color w:val="000000" w:themeColor="text1"/>
          <w:lang w:val="en-US" w:eastAsia="zh-CN"/>
          <w14:textFill>
            <w14:solidFill>
              <w14:schemeClr w14:val="tx1"/>
            </w14:solidFill>
          </w14:textFill>
        </w:rPr>
        <w:t>果如下：</w:t>
      </w:r>
    </w:p>
    <w:p w14:paraId="79D02849">
      <w:pPr>
        <w:bidi w:val="0"/>
        <w:jc w:val="center"/>
        <w:rPr>
          <w:rFonts w:hint="default" w:ascii="Times New Roman" w:hAnsi="Times New Roman" w:eastAsia="仿宋_GB2312" w:cs="Times New Roman"/>
          <w:b/>
          <w:bCs/>
          <w:color w:val="000000" w:themeColor="text1"/>
          <w:sz w:val="24"/>
          <w:szCs w:val="24"/>
          <w:lang w:val="en-US" w:eastAsia="zh-CN"/>
          <w14:textFill>
            <w14:solidFill>
              <w14:schemeClr w14:val="tx1"/>
            </w14:solidFill>
          </w14:textFill>
        </w:rPr>
      </w:pPr>
      <w:r>
        <w:rPr>
          <w:rFonts w:hint="default" w:ascii="Times New Roman" w:hAnsi="Times New Roman" w:eastAsia="仿宋_GB2312" w:cs="Times New Roman"/>
          <w:b/>
          <w:bCs/>
          <w:color w:val="000000" w:themeColor="text1"/>
          <w:sz w:val="24"/>
          <w:szCs w:val="24"/>
          <w:lang w:val="en-US" w:eastAsia="zh-CN"/>
          <w14:textFill>
            <w14:solidFill>
              <w14:schemeClr w14:val="tx1"/>
            </w14:solidFill>
          </w14:textFill>
        </w:rPr>
        <w:t>表5.1碳足迹结果</w:t>
      </w:r>
    </w:p>
    <w:tbl>
      <w:tblPr>
        <w:tblStyle w:val="27"/>
        <w:tblW w:w="4998" w:type="pct"/>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top w:w="0" w:type="dxa"/>
          <w:left w:w="0" w:type="dxa"/>
          <w:bottom w:w="0" w:type="dxa"/>
          <w:right w:w="0" w:type="dxa"/>
        </w:tblCellMar>
      </w:tblPr>
      <w:tblGrid>
        <w:gridCol w:w="3699"/>
        <w:gridCol w:w="3677"/>
        <w:gridCol w:w="957"/>
      </w:tblGrid>
      <w:tr w14:paraId="71947E8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3" w:hRule="atLeast"/>
        </w:trPr>
        <w:tc>
          <w:tcPr>
            <w:tcW w:w="2219" w:type="pct"/>
            <w:tcBorders>
              <w:top w:val="single" w:color="000000" w:sz="12" w:space="0"/>
              <w:left w:val="single" w:color="000000" w:sz="12" w:space="0"/>
              <w:bottom w:val="single" w:color="000000" w:sz="4" w:space="0"/>
              <w:right w:val="single" w:color="000000" w:sz="4" w:space="0"/>
            </w:tcBorders>
            <w:vAlign w:val="top"/>
          </w:tcPr>
          <w:p w14:paraId="1FEAC380">
            <w:pPr>
              <w:pStyle w:val="17"/>
              <w:bidi w:val="0"/>
              <w:rPr>
                <w:rFonts w:hint="default" w:ascii="Times New Roman" w:hAnsi="Times New Roman" w:eastAsia="仿宋_GB2312" w:cs="Times New Roman"/>
                <w:sz w:val="24"/>
                <w:szCs w:val="24"/>
                <w:lang w:val="en-US" w:eastAsia="en-US"/>
              </w:rPr>
            </w:pPr>
            <w:r>
              <w:rPr>
                <w:rFonts w:hint="default" w:ascii="Times New Roman" w:hAnsi="Times New Roman" w:eastAsia="仿宋_GB2312" w:cs="Times New Roman"/>
                <w:sz w:val="24"/>
                <w:szCs w:val="24"/>
                <w:lang w:val="en-US" w:eastAsia="en-US"/>
              </w:rPr>
              <w:t>环境影响类型指标</w:t>
            </w:r>
          </w:p>
        </w:tc>
        <w:tc>
          <w:tcPr>
            <w:tcW w:w="2206" w:type="pct"/>
            <w:tcBorders>
              <w:top w:val="single" w:color="000000" w:sz="12" w:space="0"/>
              <w:left w:val="single" w:color="000000" w:sz="4" w:space="0"/>
              <w:bottom w:val="single" w:color="000000" w:sz="4" w:space="0"/>
              <w:right w:val="single" w:color="000000" w:sz="4" w:space="0"/>
            </w:tcBorders>
            <w:vAlign w:val="top"/>
          </w:tcPr>
          <w:p w14:paraId="40C26266">
            <w:pPr>
              <w:pStyle w:val="17"/>
              <w:bidi w:val="0"/>
              <w:rPr>
                <w:rFonts w:hint="default" w:ascii="Times New Roman" w:hAnsi="Times New Roman" w:eastAsia="仿宋_GB2312" w:cs="Times New Roman"/>
                <w:sz w:val="24"/>
                <w:szCs w:val="24"/>
                <w:lang w:val="en-US" w:eastAsia="en-US"/>
              </w:rPr>
            </w:pPr>
            <w:r>
              <w:rPr>
                <w:rFonts w:hint="default" w:ascii="Times New Roman" w:hAnsi="Times New Roman" w:eastAsia="仿宋_GB2312" w:cs="Times New Roman"/>
                <w:sz w:val="24"/>
                <w:szCs w:val="24"/>
                <w:lang w:val="en-US" w:eastAsia="en-US"/>
              </w:rPr>
              <w:t>影响类型指标单位</w:t>
            </w:r>
          </w:p>
        </w:tc>
        <w:tc>
          <w:tcPr>
            <w:tcW w:w="574" w:type="pct"/>
            <w:tcBorders>
              <w:top w:val="single" w:color="000000" w:sz="12" w:space="0"/>
              <w:left w:val="single" w:color="000000" w:sz="4" w:space="0"/>
              <w:bottom w:val="single" w:color="000000" w:sz="4" w:space="0"/>
              <w:right w:val="single" w:color="000000" w:sz="12" w:space="0"/>
            </w:tcBorders>
            <w:vAlign w:val="top"/>
          </w:tcPr>
          <w:p w14:paraId="1979A286">
            <w:pPr>
              <w:pStyle w:val="17"/>
              <w:bidi w:val="0"/>
              <w:rPr>
                <w:rFonts w:hint="default" w:ascii="Times New Roman" w:hAnsi="Times New Roman" w:eastAsia="仿宋_GB2312" w:cs="Times New Roman"/>
                <w:sz w:val="24"/>
                <w:szCs w:val="24"/>
                <w:lang w:val="en-US" w:eastAsia="en-US"/>
              </w:rPr>
            </w:pPr>
            <w:r>
              <w:rPr>
                <w:rFonts w:hint="default" w:ascii="Times New Roman" w:hAnsi="Times New Roman" w:eastAsia="仿宋_GB2312" w:cs="Times New Roman"/>
                <w:sz w:val="24"/>
                <w:szCs w:val="24"/>
                <w:lang w:val="en-US" w:eastAsia="en-US"/>
              </w:rPr>
              <w:t>结果</w:t>
            </w:r>
          </w:p>
        </w:tc>
      </w:tr>
      <w:tr w14:paraId="7CCF69D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3" w:hRule="atLeast"/>
        </w:trPr>
        <w:tc>
          <w:tcPr>
            <w:tcW w:w="2219" w:type="pct"/>
            <w:tcBorders>
              <w:top w:val="single" w:color="000000" w:sz="4" w:space="0"/>
              <w:left w:val="single" w:color="000000" w:sz="12" w:space="0"/>
              <w:bottom w:val="single" w:color="000000" w:sz="12" w:space="0"/>
              <w:right w:val="single" w:color="000000" w:sz="4" w:space="0"/>
            </w:tcBorders>
            <w:vAlign w:val="top"/>
          </w:tcPr>
          <w:p w14:paraId="741938A3">
            <w:pPr>
              <w:pStyle w:val="18"/>
              <w:bidi w:val="0"/>
              <w:rPr>
                <w:rFonts w:hint="default" w:ascii="Times New Roman" w:hAnsi="Times New Roman" w:eastAsia="仿宋_GB2312" w:cs="Times New Roman"/>
                <w:sz w:val="24"/>
                <w:szCs w:val="24"/>
                <w:lang w:eastAsia="en-US"/>
              </w:rPr>
            </w:pPr>
            <w:r>
              <w:rPr>
                <w:rFonts w:hint="default" w:ascii="Times New Roman" w:hAnsi="Times New Roman" w:eastAsia="仿宋_GB2312" w:cs="Times New Roman"/>
                <w:sz w:val="24"/>
                <w:szCs w:val="24"/>
                <w:lang w:eastAsia="en-US"/>
              </w:rPr>
              <w:t>GWP</w:t>
            </w:r>
          </w:p>
        </w:tc>
        <w:tc>
          <w:tcPr>
            <w:tcW w:w="2206" w:type="pct"/>
            <w:tcBorders>
              <w:top w:val="single" w:color="000000" w:sz="4" w:space="0"/>
              <w:left w:val="single" w:color="000000" w:sz="4" w:space="0"/>
              <w:bottom w:val="single" w:color="000000" w:sz="12" w:space="0"/>
              <w:right w:val="single" w:color="000000" w:sz="4" w:space="0"/>
            </w:tcBorders>
            <w:vAlign w:val="top"/>
          </w:tcPr>
          <w:p w14:paraId="51F4CF5F">
            <w:pPr>
              <w:pStyle w:val="18"/>
              <w:bidi w:val="0"/>
              <w:rPr>
                <w:rFonts w:hint="default" w:ascii="Times New Roman" w:hAnsi="Times New Roman" w:eastAsia="仿宋_GB2312" w:cs="Times New Roman"/>
                <w:sz w:val="24"/>
                <w:szCs w:val="24"/>
                <w:lang w:eastAsia="en-US"/>
              </w:rPr>
            </w:pPr>
            <w:r>
              <w:rPr>
                <w:rFonts w:hint="default" w:ascii="Times New Roman" w:hAnsi="Times New Roman" w:eastAsia="仿宋_GB2312" w:cs="Times New Roman"/>
                <w:sz w:val="24"/>
                <w:szCs w:val="24"/>
                <w:lang w:val="en-US" w:eastAsia="zh-CN"/>
              </w:rPr>
              <w:t>kg</w:t>
            </w:r>
            <w:r>
              <w:rPr>
                <w:rFonts w:hint="default" w:ascii="Times New Roman" w:hAnsi="Times New Roman" w:eastAsia="仿宋_GB2312" w:cs="Times New Roman"/>
                <w:sz w:val="24"/>
                <w:szCs w:val="24"/>
                <w:lang w:eastAsia="en-US"/>
              </w:rPr>
              <w:t>CO</w:t>
            </w:r>
            <w:r>
              <w:rPr>
                <w:rFonts w:hint="default" w:ascii="Times New Roman" w:hAnsi="Times New Roman" w:eastAsia="仿宋_GB2312" w:cs="Times New Roman"/>
                <w:sz w:val="24"/>
                <w:szCs w:val="24"/>
                <w:vertAlign w:val="subscript"/>
                <w:lang w:eastAsia="en-US"/>
              </w:rPr>
              <w:t>2</w:t>
            </w:r>
            <w:r>
              <w:rPr>
                <w:rFonts w:hint="default" w:ascii="Times New Roman" w:hAnsi="Times New Roman" w:eastAsia="仿宋_GB2312" w:cs="Times New Roman"/>
                <w:sz w:val="24"/>
                <w:szCs w:val="24"/>
                <w:lang w:eastAsia="en-US"/>
              </w:rPr>
              <w:t>e</w:t>
            </w:r>
          </w:p>
        </w:tc>
        <w:tc>
          <w:tcPr>
            <w:tcW w:w="574" w:type="pct"/>
            <w:tcBorders>
              <w:top w:val="single" w:color="000000" w:sz="4" w:space="0"/>
              <w:left w:val="single" w:color="000000" w:sz="4" w:space="0"/>
              <w:bottom w:val="single" w:color="000000" w:sz="12" w:space="0"/>
              <w:right w:val="single" w:color="000000" w:sz="12" w:space="0"/>
            </w:tcBorders>
            <w:vAlign w:val="top"/>
          </w:tcPr>
          <w:p w14:paraId="6313AC34">
            <w:pPr>
              <w:pStyle w:val="18"/>
              <w:bidi w:val="0"/>
              <w:rPr>
                <w:rFonts w:hint="default" w:ascii="Times New Roman" w:hAnsi="Times New Roman" w:eastAsia="仿宋_GB2312" w:cs="Times New Roman"/>
                <w:sz w:val="24"/>
                <w:szCs w:val="24"/>
                <w:lang w:val="en-US" w:eastAsia="zh-CN"/>
              </w:rPr>
            </w:pPr>
            <w:r>
              <w:rPr>
                <w:rFonts w:hint="eastAsia" w:eastAsia="仿宋_GB2312" w:cs="Times New Roman"/>
                <w:sz w:val="24"/>
                <w:szCs w:val="24"/>
                <w:lang w:val="en-US" w:eastAsia="zh-CN"/>
              </w:rPr>
              <w:t>3258.75</w:t>
            </w:r>
          </w:p>
        </w:tc>
      </w:tr>
    </w:tbl>
    <w:p w14:paraId="474314ED">
      <w:pPr>
        <w:pStyle w:val="5"/>
        <w:bidi w:val="0"/>
        <w:rPr>
          <w:rFonts w:hint="default"/>
          <w:lang w:val="en-US" w:eastAsia="zh-CN"/>
        </w:rPr>
      </w:pPr>
      <w:bookmarkStart w:id="20" w:name="_Toc21511"/>
      <w:r>
        <w:rPr>
          <w:rFonts w:hint="default"/>
          <w:lang w:val="en-US" w:eastAsia="zh-CN"/>
        </w:rPr>
        <w:t>5.2过程累积贡献分析</w:t>
      </w:r>
      <w:bookmarkEnd w:id="20"/>
    </w:p>
    <w:p w14:paraId="405B9F6B">
      <w:pPr>
        <w:bidi w:val="0"/>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过程累积贡献是指该过程直接贡献及其所有上游过程的贡献（即原料消耗所贡献）的累加值。由于过程通常是包含多条清单数据，所以过程贡献分析其实是多项清单数据灵敏度的累积。</w:t>
      </w:r>
    </w:p>
    <w:p w14:paraId="7DDF635D">
      <w:pPr>
        <w:bidi w:val="0"/>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生产</w:t>
      </w:r>
      <w:r>
        <w:rPr>
          <w:rFonts w:hint="eastAsia" w:eastAsia="仿宋_GB2312" w:cs="Times New Roman"/>
          <w:lang w:val="en-US" w:eastAsia="zh-CN"/>
        </w:rPr>
        <w:t>1台甲醇系列发动机</w:t>
      </w:r>
      <w:r>
        <w:rPr>
          <w:rFonts w:hint="default" w:ascii="Times New Roman" w:hAnsi="Times New Roman" w:eastAsia="仿宋_GB2312" w:cs="Times New Roman"/>
          <w:lang w:val="en-US" w:eastAsia="zh-CN"/>
        </w:rPr>
        <w:t>中碳排放占比贡献最大的是原材料获取阶段，占比为</w:t>
      </w:r>
      <w:r>
        <w:rPr>
          <w:rFonts w:hint="eastAsia" w:eastAsia="仿宋_GB2312" w:cs="Times New Roman"/>
          <w:color w:val="000000" w:themeColor="text1"/>
          <w:lang w:val="en-US" w:eastAsia="zh-CN"/>
          <w14:textFill>
            <w14:solidFill>
              <w14:schemeClr w14:val="tx1"/>
            </w14:solidFill>
          </w14:textFill>
        </w:rPr>
        <w:t>73.74</w:t>
      </w:r>
      <w:r>
        <w:rPr>
          <w:rFonts w:hint="default" w:ascii="Times New Roman" w:hAnsi="Times New Roman" w:eastAsia="仿宋_GB2312" w:cs="Times New Roman"/>
          <w:color w:val="000000" w:themeColor="text1"/>
          <w:lang w:val="en-US" w:eastAsia="zh-CN"/>
          <w14:textFill>
            <w14:solidFill>
              <w14:schemeClr w14:val="tx1"/>
            </w14:solidFill>
          </w14:textFill>
        </w:rPr>
        <w:t>%</w:t>
      </w:r>
      <w:r>
        <w:rPr>
          <w:rFonts w:hint="default" w:ascii="Times New Roman" w:hAnsi="Times New Roman" w:eastAsia="仿宋_GB2312" w:cs="Times New Roman"/>
          <w:lang w:val="en-US" w:eastAsia="zh-CN"/>
        </w:rPr>
        <w:t>；其次为生产制造阶段占比为</w:t>
      </w:r>
      <w:r>
        <w:rPr>
          <w:rFonts w:hint="eastAsia" w:eastAsia="仿宋_GB2312" w:cs="Times New Roman"/>
          <w:color w:val="000000" w:themeColor="text1"/>
          <w:lang w:val="en-US" w:eastAsia="zh-CN"/>
          <w14:textFill>
            <w14:solidFill>
              <w14:schemeClr w14:val="tx1"/>
            </w14:solidFill>
          </w14:textFill>
        </w:rPr>
        <w:t>19.62</w:t>
      </w:r>
      <w:r>
        <w:rPr>
          <w:rFonts w:hint="default" w:ascii="Times New Roman" w:hAnsi="Times New Roman" w:eastAsia="仿宋_GB2312" w:cs="Times New Roman"/>
          <w:color w:val="000000" w:themeColor="text1"/>
          <w:lang w:val="en-US" w:eastAsia="zh-CN"/>
          <w14:textFill>
            <w14:solidFill>
              <w14:schemeClr w14:val="tx1"/>
            </w14:solidFill>
          </w14:textFill>
        </w:rPr>
        <w:t>%</w:t>
      </w:r>
      <w:r>
        <w:rPr>
          <w:rFonts w:hint="default" w:ascii="Times New Roman" w:hAnsi="Times New Roman" w:eastAsia="仿宋_GB2312" w:cs="Times New Roman"/>
          <w:lang w:val="en-US" w:eastAsia="zh-CN"/>
        </w:rPr>
        <w:t>，对碳足迹贡献</w:t>
      </w:r>
      <w:r>
        <w:rPr>
          <w:rFonts w:hint="default" w:ascii="Times New Roman" w:hAnsi="Times New Roman" w:eastAsia="仿宋_GB2312" w:cs="Times New Roman"/>
          <w:color w:val="000000" w:themeColor="text1"/>
          <w:lang w:val="en-US" w:eastAsia="zh-CN"/>
          <w14:textFill>
            <w14:solidFill>
              <w14:schemeClr w14:val="tx1"/>
            </w14:solidFill>
          </w14:textFill>
        </w:rPr>
        <w:t>排名第三的是原材料运输阶段，占比为</w:t>
      </w:r>
      <w:r>
        <w:rPr>
          <w:rFonts w:hint="eastAsia" w:eastAsia="仿宋_GB2312" w:cs="Times New Roman"/>
          <w:color w:val="000000" w:themeColor="text1"/>
          <w:lang w:val="en-US" w:eastAsia="zh-CN"/>
          <w14:textFill>
            <w14:solidFill>
              <w14:schemeClr w14:val="tx1"/>
            </w14:solidFill>
          </w14:textFill>
        </w:rPr>
        <w:t>6.64</w:t>
      </w:r>
      <w:r>
        <w:rPr>
          <w:rFonts w:hint="default" w:ascii="Times New Roman" w:hAnsi="Times New Roman" w:eastAsia="仿宋_GB2312" w:cs="Times New Roman"/>
          <w:color w:val="000000" w:themeColor="text1"/>
          <w:lang w:val="en-US" w:eastAsia="zh-CN"/>
          <w14:textFill>
            <w14:solidFill>
              <w14:schemeClr w14:val="tx1"/>
            </w14:solidFill>
          </w14:textFill>
        </w:rPr>
        <w:t>%。</w:t>
      </w:r>
    </w:p>
    <w:p w14:paraId="3A528AA9">
      <w:pPr>
        <w:bidi w:val="0"/>
        <w:rPr>
          <w:rFonts w:hint="default" w:ascii="Times New Roman" w:hAnsi="Times New Roman" w:eastAsia="仿宋_GB2312" w:cs="Times New Roman"/>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266DC0F4">
      <w:pPr>
        <w:pStyle w:val="4"/>
        <w:bidi w:val="0"/>
        <w:rPr>
          <w:rFonts w:hint="default"/>
          <w:lang w:val="en-US" w:eastAsia="zh-CN"/>
        </w:rPr>
      </w:pPr>
      <w:bookmarkStart w:id="21" w:name="_Toc22232"/>
      <w:r>
        <w:rPr>
          <w:rFonts w:hint="default"/>
          <w:lang w:val="en-US" w:eastAsia="zh-CN"/>
        </w:rPr>
        <w:t>6</w:t>
      </w:r>
      <w:r>
        <w:rPr>
          <w:rFonts w:hint="eastAsia"/>
          <w:lang w:val="en-US" w:eastAsia="zh-CN"/>
        </w:rPr>
        <w:t>.</w:t>
      </w:r>
      <w:r>
        <w:rPr>
          <w:rFonts w:hint="default"/>
          <w:lang w:val="en-US" w:eastAsia="zh-CN"/>
        </w:rPr>
        <w:t>生命周期解释</w:t>
      </w:r>
      <w:bookmarkEnd w:id="21"/>
    </w:p>
    <w:p w14:paraId="5C23CAA7">
      <w:pPr>
        <w:pStyle w:val="5"/>
        <w:bidi w:val="0"/>
        <w:rPr>
          <w:rFonts w:hint="default"/>
          <w:lang w:val="en-US" w:eastAsia="zh-CN"/>
        </w:rPr>
      </w:pPr>
      <w:bookmarkStart w:id="22" w:name="_Toc30202"/>
      <w:r>
        <w:rPr>
          <w:rFonts w:hint="default"/>
          <w:lang w:val="en-US" w:eastAsia="zh-CN"/>
        </w:rPr>
        <w:t>6.1假设与局限性说明</w:t>
      </w:r>
      <w:bookmarkEnd w:id="22"/>
    </w:p>
    <w:p w14:paraId="5E0C5701">
      <w:pPr>
        <w:bidi w:val="0"/>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本产品生命周期模型建立过程中所有原材料的消耗量、能源消耗量、污染物产生量均来自于公司实际生产数据，未进行假设。</w:t>
      </w:r>
    </w:p>
    <w:p w14:paraId="33F3B847">
      <w:pPr>
        <w:bidi w:val="0"/>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因公司无法获得部分原材料、能源的上游/下游实景数据或实景数据获取不完整，原辅材料和能源及运输过程的上游/下游数据来自于数据库数据、文献、公司碳排放报告、同行业数据计算，与实际上游/下游生产数据略有出入。</w:t>
      </w:r>
    </w:p>
    <w:p w14:paraId="29E1B810">
      <w:pPr>
        <w:pStyle w:val="5"/>
        <w:bidi w:val="0"/>
        <w:rPr>
          <w:rFonts w:hint="default" w:ascii="Times New Roman" w:hAnsi="Times New Roman" w:eastAsia="仿宋_GB2312" w:cs="Times New Roman"/>
          <w:lang w:val="en-US" w:eastAsia="zh-CN"/>
        </w:rPr>
      </w:pPr>
      <w:bookmarkStart w:id="23" w:name="_Toc15110"/>
      <w:r>
        <w:rPr>
          <w:rFonts w:hint="default"/>
          <w:lang w:val="en-US" w:eastAsia="zh-CN"/>
        </w:rPr>
        <w:t>6.2</w:t>
      </w:r>
      <w:r>
        <w:rPr>
          <w:rFonts w:hint="default" w:ascii="Times New Roman" w:hAnsi="Times New Roman" w:eastAsia="仿宋_GB2312" w:cs="Times New Roman"/>
          <w:lang w:val="en-US" w:eastAsia="zh-CN"/>
        </w:rPr>
        <w:t>完整性说明</w:t>
      </w:r>
      <w:bookmarkEnd w:id="23"/>
    </w:p>
    <w:p w14:paraId="69C1CCFD">
      <w:pPr>
        <w:bidi w:val="0"/>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本研究</w:t>
      </w:r>
      <w:r>
        <w:rPr>
          <w:rFonts w:hint="eastAsia" w:eastAsia="仿宋_GB2312" w:cs="Times New Roman"/>
          <w:lang w:val="en-US" w:eastAsia="zh-CN"/>
        </w:rPr>
        <w:t>甲醇系列发动机</w:t>
      </w:r>
      <w:r>
        <w:rPr>
          <w:rFonts w:hint="default" w:ascii="Times New Roman" w:hAnsi="Times New Roman" w:eastAsia="仿宋_GB2312" w:cs="Times New Roman"/>
          <w:lang w:val="en-US" w:eastAsia="zh-CN"/>
        </w:rPr>
        <w:t>产品生命周期系统边界为“从摇篮到大门”的过程，产品生命周期考虑了</w:t>
      </w:r>
      <w:r>
        <w:rPr>
          <w:rFonts w:hint="eastAsia" w:eastAsia="仿宋_GB2312" w:cs="Times New Roman"/>
          <w:lang w:val="en-US" w:eastAsia="zh-CN"/>
        </w:rPr>
        <w:t>甲醇系列发动机</w:t>
      </w:r>
      <w:r>
        <w:rPr>
          <w:rFonts w:hint="default" w:ascii="Times New Roman" w:hAnsi="Times New Roman" w:eastAsia="仿宋_GB2312" w:cs="Times New Roman"/>
          <w:lang w:val="en-US" w:eastAsia="zh-CN"/>
        </w:rPr>
        <w:t>加工等过程。生命周期模型数据符合取舍规则。</w:t>
      </w:r>
    </w:p>
    <w:p w14:paraId="3DD2045D">
      <w:pPr>
        <w:bidi w:val="0"/>
        <w:rPr>
          <w:rFonts w:hint="default"/>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23C35318">
      <w:pPr>
        <w:pStyle w:val="4"/>
        <w:bidi w:val="0"/>
        <w:rPr>
          <w:rFonts w:hint="default"/>
          <w:lang w:val="en-US" w:eastAsia="zh-CN"/>
        </w:rPr>
      </w:pPr>
      <w:bookmarkStart w:id="24" w:name="_Toc30969"/>
      <w:r>
        <w:rPr>
          <w:rFonts w:hint="default"/>
          <w:lang w:val="en-US" w:eastAsia="zh-CN"/>
        </w:rPr>
        <w:t>7结论与建议</w:t>
      </w:r>
      <w:bookmarkEnd w:id="24"/>
    </w:p>
    <w:p w14:paraId="69591555">
      <w:pPr>
        <w:pStyle w:val="5"/>
        <w:bidi w:val="0"/>
        <w:rPr>
          <w:rFonts w:hint="default"/>
          <w:lang w:val="en-US" w:eastAsia="zh-CN"/>
        </w:rPr>
      </w:pPr>
      <w:bookmarkStart w:id="25" w:name="_Toc31366"/>
      <w:r>
        <w:rPr>
          <w:rFonts w:hint="default"/>
          <w:lang w:val="en-US" w:eastAsia="zh-CN"/>
        </w:rPr>
        <w:t>7.1结论</w:t>
      </w:r>
      <w:bookmarkEnd w:id="25"/>
    </w:p>
    <w:p w14:paraId="179CC59B">
      <w:pPr>
        <w:bidi w:val="0"/>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本研究的功能单位为生产</w:t>
      </w:r>
      <w:r>
        <w:rPr>
          <w:rFonts w:hint="eastAsia" w:eastAsia="仿宋_GB2312" w:cs="Times New Roman"/>
          <w:lang w:val="en-US" w:eastAsia="zh-CN"/>
        </w:rPr>
        <w:t>1台甲醇系列发动机</w:t>
      </w:r>
      <w:r>
        <w:rPr>
          <w:rFonts w:hint="default" w:ascii="Times New Roman" w:hAnsi="Times New Roman" w:eastAsia="仿宋_GB2312" w:cs="Times New Roman"/>
          <w:lang w:val="en-US" w:eastAsia="zh-CN"/>
        </w:rPr>
        <w:t>，系统边界包括原材料获取到产品生产（从摇篮到大门），由于产品运输、使用和废弃处置的数据不可得，所以未包括产品的运输、使用和废弃处置阶段。本研究仅关注气候变化这一项环境影响类型，而对环境其他方面的影响并未在报告中进行评估。本次</w:t>
      </w:r>
      <w:r>
        <w:rPr>
          <w:rFonts w:hint="eastAsia" w:eastAsia="仿宋_GB2312" w:cs="Times New Roman"/>
          <w:lang w:val="en-US" w:eastAsia="zh-CN"/>
        </w:rPr>
        <w:t>甲醇系列发动机</w:t>
      </w:r>
      <w:r>
        <w:rPr>
          <w:rFonts w:hint="default" w:ascii="Times New Roman" w:hAnsi="Times New Roman" w:eastAsia="仿宋_GB2312" w:cs="Times New Roman"/>
          <w:lang w:val="en-US" w:eastAsia="zh-CN"/>
        </w:rPr>
        <w:t>产品碳足迹报告主要得出以下结论：</w:t>
      </w:r>
    </w:p>
    <w:p w14:paraId="36C1D773">
      <w:pPr>
        <w:bidi w:val="0"/>
        <w:rPr>
          <w:rFonts w:hint="default" w:ascii="Times New Roman" w:hAnsi="Times New Roman" w:eastAsia="仿宋_GB2312" w:cs="Times New Roman"/>
          <w:lang w:val="en-US" w:eastAsia="zh-CN"/>
        </w:rPr>
      </w:pPr>
      <w:r>
        <w:rPr>
          <w:rFonts w:hint="eastAsia" w:eastAsia="仿宋_GB2312" w:cs="Times New Roman"/>
          <w:lang w:val="en-US" w:eastAsia="zh-CN"/>
        </w:rPr>
        <w:t>1台甲醇系列发动机</w:t>
      </w:r>
      <w:r>
        <w:rPr>
          <w:rFonts w:hint="default" w:ascii="Times New Roman" w:hAnsi="Times New Roman" w:eastAsia="仿宋_GB2312" w:cs="Times New Roman"/>
          <w:lang w:val="en-US" w:eastAsia="zh-CN"/>
        </w:rPr>
        <w:t>碳足迹结果为</w:t>
      </w:r>
      <w:r>
        <w:rPr>
          <w:rFonts w:hint="eastAsia" w:eastAsia="仿宋_GB2312" w:cs="Times New Roman"/>
          <w:color w:val="000000" w:themeColor="text1"/>
          <w:lang w:val="en-US" w:eastAsia="zh-CN"/>
          <w14:textFill>
            <w14:solidFill>
              <w14:schemeClr w14:val="tx1"/>
            </w14:solidFill>
          </w14:textFill>
        </w:rPr>
        <w:t>3258.75</w:t>
      </w:r>
      <w:r>
        <w:rPr>
          <w:rFonts w:hint="default" w:ascii="Times New Roman" w:hAnsi="Times New Roman" w:eastAsia="仿宋_GB2312" w:cs="Times New Roman"/>
          <w:color w:val="000000" w:themeColor="text1"/>
          <w:lang w:val="en-US" w:eastAsia="zh-CN"/>
          <w14:textFill>
            <w14:solidFill>
              <w14:schemeClr w14:val="tx1"/>
            </w14:solidFill>
          </w14:textFill>
        </w:rPr>
        <w:t>k</w:t>
      </w:r>
      <w:r>
        <w:rPr>
          <w:rFonts w:hint="default" w:ascii="Times New Roman" w:hAnsi="Times New Roman" w:eastAsia="仿宋_GB2312" w:cs="Times New Roman"/>
          <w:lang w:val="en-US" w:eastAsia="zh-CN"/>
        </w:rPr>
        <w:t>gCO</w:t>
      </w:r>
      <w:r>
        <w:rPr>
          <w:rFonts w:hint="default" w:ascii="Times New Roman" w:hAnsi="Times New Roman" w:eastAsia="仿宋_GB2312" w:cs="Times New Roman"/>
          <w:vertAlign w:val="subscript"/>
          <w:lang w:val="en-US" w:eastAsia="zh-CN"/>
        </w:rPr>
        <w:t>2</w:t>
      </w:r>
      <w:r>
        <w:rPr>
          <w:rFonts w:hint="default" w:ascii="Times New Roman" w:hAnsi="Times New Roman" w:eastAsia="仿宋_GB2312" w:cs="Times New Roman"/>
          <w:lang w:val="en-US" w:eastAsia="zh-CN"/>
        </w:rPr>
        <w:t>e。</w:t>
      </w:r>
    </w:p>
    <w:p w14:paraId="73363243">
      <w:pPr>
        <w:pStyle w:val="5"/>
        <w:bidi w:val="0"/>
        <w:rPr>
          <w:rFonts w:hint="default"/>
          <w:lang w:val="en-US" w:eastAsia="zh-CN"/>
        </w:rPr>
      </w:pPr>
      <w:bookmarkStart w:id="26" w:name="_Toc23456"/>
      <w:r>
        <w:rPr>
          <w:rFonts w:hint="default"/>
          <w:lang w:val="en-US" w:eastAsia="zh-CN"/>
        </w:rPr>
        <w:t>7.2建议</w:t>
      </w:r>
      <w:bookmarkEnd w:id="26"/>
    </w:p>
    <w:p w14:paraId="0F374FEF">
      <w:pPr>
        <w:bidi w:val="0"/>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1、减少产品全生命周期的碳足迹主要从原材料入手。减少原材料的使用量、提高原材料的利用率将降低全生命周期的碳足迹。</w:t>
      </w:r>
    </w:p>
    <w:p w14:paraId="23480459">
      <w:pPr>
        <w:bidi w:val="0"/>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2、使用可再生能源代替不可再生能源，减少能源的浪费，同时减少二氧化碳的排放。</w:t>
      </w:r>
    </w:p>
    <w:p w14:paraId="76F67D45">
      <w:pPr>
        <w:bidi w:val="0"/>
        <w:rPr>
          <w:rFonts w:hint="default"/>
          <w:lang w:val="en-US" w:eastAsia="zh-CN"/>
        </w:rPr>
      </w:pPr>
    </w:p>
    <w:p w14:paraId="7B86480A">
      <w:pPr>
        <w:pStyle w:val="4"/>
        <w:bidi w:val="0"/>
        <w:rPr>
          <w:rFonts w:hint="default"/>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19383807">
      <w:pPr>
        <w:pStyle w:val="4"/>
        <w:bidi w:val="0"/>
        <w:rPr>
          <w:rFonts w:hint="default"/>
          <w:lang w:val="en-US" w:eastAsia="zh-CN"/>
        </w:rPr>
      </w:pPr>
      <w:bookmarkStart w:id="27" w:name="_Toc32579"/>
      <w:r>
        <w:rPr>
          <w:rFonts w:hint="default"/>
          <w:lang w:val="en-US" w:eastAsia="zh-CN"/>
        </w:rPr>
        <w:t>8</w:t>
      </w:r>
      <w:r>
        <w:rPr>
          <w:rFonts w:hint="eastAsia"/>
          <w:lang w:val="en-US" w:eastAsia="zh-CN"/>
        </w:rPr>
        <w:t>.</w:t>
      </w:r>
      <w:r>
        <w:rPr>
          <w:rFonts w:hint="default"/>
          <w:lang w:val="en-US" w:eastAsia="zh-CN"/>
        </w:rPr>
        <w:t>结语</w:t>
      </w:r>
      <w:bookmarkEnd w:id="27"/>
    </w:p>
    <w:p w14:paraId="56A7ED37">
      <w:pPr>
        <w:bidi w:val="0"/>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低碳发展是公司未来生存和发展的必然选择，进行产品碳足迹的核算是企业实现温室气体管理，制定低碳发展战略的第一步。通过产品生命周期的碳足迹核算，了解排放源，明确各生产环节的排放量，制定合理的减排目标打下基础。</w:t>
      </w:r>
    </w:p>
    <w:p w14:paraId="4BA69DB3">
      <w:pPr>
        <w:bidi w:val="0"/>
        <w:rPr>
          <w:rFonts w:hint="default"/>
          <w:lang w:val="en-US" w:eastAsia="zh-CN"/>
        </w:rPr>
      </w:pPr>
    </w:p>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FangSong_GB2312">
    <w:altName w:val="仿宋_GB2312"/>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D5323B">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6C2098">
                          <w:pPr>
                            <w:pStyle w:val="9"/>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16C2098">
                    <w:pPr>
                      <w:pStyle w:val="9"/>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560"/>
      </w:pPr>
      <w:r>
        <w:separator/>
      </w:r>
    </w:p>
  </w:footnote>
  <w:footnote w:type="continuationSeparator" w:id="1">
    <w:p>
      <w:pPr>
        <w:spacing w:line="360" w:lineRule="auto"/>
        <w:ind w:firstLine="56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D523138"/>
    <w:rsid w:val="0D821EE7"/>
    <w:rsid w:val="0F341F04"/>
    <w:rsid w:val="0F4E63F1"/>
    <w:rsid w:val="106F0166"/>
    <w:rsid w:val="13F35552"/>
    <w:rsid w:val="14D663F6"/>
    <w:rsid w:val="1D650958"/>
    <w:rsid w:val="23EC3D37"/>
    <w:rsid w:val="24773B3C"/>
    <w:rsid w:val="2688564A"/>
    <w:rsid w:val="301B4B8E"/>
    <w:rsid w:val="30F83F88"/>
    <w:rsid w:val="31212557"/>
    <w:rsid w:val="336D1C26"/>
    <w:rsid w:val="33843972"/>
    <w:rsid w:val="33B471BA"/>
    <w:rsid w:val="36637D93"/>
    <w:rsid w:val="36D1697E"/>
    <w:rsid w:val="37083929"/>
    <w:rsid w:val="3B0F29F3"/>
    <w:rsid w:val="3C8D781B"/>
    <w:rsid w:val="3CA44E56"/>
    <w:rsid w:val="40283751"/>
    <w:rsid w:val="40C35E21"/>
    <w:rsid w:val="4557347D"/>
    <w:rsid w:val="45C177D5"/>
    <w:rsid w:val="4BC76C7D"/>
    <w:rsid w:val="4CA46E0E"/>
    <w:rsid w:val="4E504B2B"/>
    <w:rsid w:val="524079EE"/>
    <w:rsid w:val="556D3041"/>
    <w:rsid w:val="598E4789"/>
    <w:rsid w:val="5998285A"/>
    <w:rsid w:val="5CA15381"/>
    <w:rsid w:val="6D382579"/>
    <w:rsid w:val="6FB50225"/>
    <w:rsid w:val="76593F16"/>
    <w:rsid w:val="76786018"/>
    <w:rsid w:val="7DB475D6"/>
    <w:rsid w:val="7E2D56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adjustRightInd w:val="0"/>
      <w:snapToGrid w:val="0"/>
      <w:spacing w:line="360" w:lineRule="auto"/>
      <w:ind w:firstLine="464" w:firstLineChars="200"/>
      <w:jc w:val="both"/>
    </w:pPr>
    <w:rPr>
      <w:rFonts w:ascii="Times New Roman" w:hAnsi="Times New Roman" w:eastAsia="宋体" w:cstheme="minorBidi"/>
      <w:kern w:val="2"/>
      <w:sz w:val="28"/>
      <w:szCs w:val="24"/>
      <w:lang w:val="en-US" w:eastAsia="zh-CN" w:bidi="ar-SA"/>
    </w:rPr>
  </w:style>
  <w:style w:type="paragraph" w:styleId="4">
    <w:name w:val="heading 1"/>
    <w:basedOn w:val="1"/>
    <w:next w:val="1"/>
    <w:qFormat/>
    <w:uiPriority w:val="0"/>
    <w:pPr>
      <w:keepNext/>
      <w:keepLines/>
      <w:spacing w:beforeLines="0" w:beforeAutospacing="0" w:afterLines="0" w:afterAutospacing="0" w:line="360" w:lineRule="auto"/>
      <w:ind w:firstLine="0" w:firstLineChars="0"/>
      <w:jc w:val="center"/>
      <w:outlineLvl w:val="0"/>
    </w:pPr>
    <w:rPr>
      <w:rFonts w:ascii="Times New Roman" w:hAnsi="Times New Roman" w:eastAsia="宋体"/>
      <w:b/>
      <w:kern w:val="44"/>
      <w:sz w:val="44"/>
    </w:rPr>
  </w:style>
  <w:style w:type="paragraph" w:styleId="5">
    <w:name w:val="heading 2"/>
    <w:basedOn w:val="1"/>
    <w:next w:val="1"/>
    <w:autoRedefine/>
    <w:unhideWhenUsed/>
    <w:qFormat/>
    <w:uiPriority w:val="0"/>
    <w:pPr>
      <w:keepNext/>
      <w:keepLines/>
      <w:spacing w:beforeLines="0" w:beforeAutospacing="0" w:afterLines="0" w:afterAutospacing="0" w:line="360" w:lineRule="auto"/>
      <w:ind w:firstLine="0" w:firstLineChars="0"/>
      <w:jc w:val="left"/>
      <w:outlineLvl w:val="1"/>
    </w:pPr>
    <w:rPr>
      <w:rFonts w:ascii="Times New Roman" w:hAnsi="Times New Roman" w:eastAsia="宋体"/>
      <w:b/>
      <w:sz w:val="32"/>
    </w:rPr>
  </w:style>
  <w:style w:type="paragraph" w:styleId="6">
    <w:name w:val="heading 3"/>
    <w:basedOn w:val="1"/>
    <w:next w:val="1"/>
    <w:semiHidden/>
    <w:unhideWhenUsed/>
    <w:qFormat/>
    <w:uiPriority w:val="0"/>
    <w:pPr>
      <w:keepNext/>
      <w:keepLines/>
      <w:adjustRightInd w:val="0"/>
      <w:snapToGrid w:val="0"/>
      <w:spacing w:beforeLines="0" w:beforeAutospacing="0" w:afterLines="0" w:afterAutospacing="0" w:line="360" w:lineRule="auto"/>
      <w:ind w:firstLine="0" w:firstLineChars="0"/>
      <w:jc w:val="left"/>
      <w:outlineLvl w:val="2"/>
    </w:pPr>
    <w:rPr>
      <w:b/>
      <w:sz w:val="32"/>
    </w:rPr>
  </w:style>
  <w:style w:type="paragraph" w:styleId="7">
    <w:name w:val="heading 4"/>
    <w:basedOn w:val="1"/>
    <w:next w:val="1"/>
    <w:autoRedefine/>
    <w:semiHidden/>
    <w:unhideWhenUsed/>
    <w:qFormat/>
    <w:uiPriority w:val="0"/>
    <w:pPr>
      <w:keepNext/>
      <w:keepLines/>
      <w:spacing w:beforeLines="0" w:beforeAutospacing="0" w:afterLines="0" w:afterAutospacing="0" w:line="360" w:lineRule="auto"/>
      <w:jc w:val="left"/>
      <w:outlineLvl w:val="3"/>
    </w:pPr>
    <w:rPr>
      <w:b/>
      <w:sz w:val="28"/>
    </w:rPr>
  </w:style>
  <w:style w:type="character" w:default="1" w:styleId="14">
    <w:name w:val="Default Paragraph Font"/>
    <w:autoRedefine/>
    <w:semiHidden/>
    <w:qFormat/>
    <w:uiPriority w:val="0"/>
  </w:style>
  <w:style w:type="table" w:default="1" w:styleId="13">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widowControl w:val="0"/>
      <w:adjustRightInd/>
      <w:snapToGrid/>
      <w:jc w:val="left"/>
    </w:pPr>
    <w:rPr>
      <w:rFonts w:ascii="Times New Roman" w:hAnsi="Times New Roman" w:eastAsia="仿宋"/>
      <w:b/>
    </w:rPr>
  </w:style>
  <w:style w:type="paragraph" w:styleId="3">
    <w:name w:val="Title"/>
    <w:basedOn w:val="1"/>
    <w:next w:val="1"/>
    <w:qFormat/>
    <w:uiPriority w:val="0"/>
    <w:pPr>
      <w:widowControl/>
      <w:adjustRightInd w:val="0"/>
      <w:snapToGrid w:val="0"/>
      <w:spacing w:line="360" w:lineRule="auto"/>
      <w:ind w:firstLine="200" w:firstLineChars="200"/>
      <w:jc w:val="center"/>
    </w:pPr>
    <w:rPr>
      <w:b/>
      <w:sz w:val="24"/>
      <w:szCs w:val="22"/>
    </w:rPr>
  </w:style>
  <w:style w:type="paragraph" w:styleId="8">
    <w:name w:val="toc 3"/>
    <w:basedOn w:val="1"/>
    <w:next w:val="1"/>
    <w:qFormat/>
    <w:uiPriority w:val="0"/>
    <w:pPr>
      <w:ind w:left="840" w:leftChars="400" w:firstLine="0" w:firstLineChars="0"/>
    </w:pPr>
    <w:rPr>
      <w:rFonts w:ascii="Times New Roman" w:hAnsi="Times New Roman" w:eastAsia="宋体"/>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oc 1"/>
    <w:basedOn w:val="1"/>
    <w:next w:val="1"/>
    <w:qFormat/>
    <w:uiPriority w:val="0"/>
    <w:pPr>
      <w:spacing w:line="312" w:lineRule="auto"/>
      <w:ind w:firstLine="0" w:firstLineChars="0"/>
    </w:pPr>
    <w:rPr>
      <w:rFonts w:ascii="Times New Roman" w:hAnsi="Times New Roman" w:eastAsia="宋体"/>
    </w:rPr>
  </w:style>
  <w:style w:type="paragraph" w:styleId="12">
    <w:name w:val="toc 2"/>
    <w:basedOn w:val="1"/>
    <w:next w:val="1"/>
    <w:qFormat/>
    <w:uiPriority w:val="0"/>
    <w:pPr>
      <w:spacing w:line="312" w:lineRule="auto"/>
      <w:ind w:left="420" w:leftChars="200" w:firstLine="0" w:firstLineChars="0"/>
    </w:pPr>
    <w:rPr>
      <w:rFonts w:ascii="Times New Roman" w:hAnsi="Times New Roman" w:eastAsia="宋体"/>
    </w:rPr>
  </w:style>
  <w:style w:type="paragraph" w:customStyle="1" w:styleId="15">
    <w:name w:val="表格标题"/>
    <w:basedOn w:val="1"/>
    <w:autoRedefine/>
    <w:qFormat/>
    <w:uiPriority w:val="0"/>
    <w:pPr>
      <w:ind w:firstLine="0" w:firstLineChars="0"/>
      <w:jc w:val="center"/>
      <w:outlineLvl w:val="7"/>
    </w:pPr>
    <w:rPr>
      <w:rFonts w:ascii="Times New Roman" w:hAnsi="Times New Roman" w:eastAsia="宋体"/>
    </w:rPr>
  </w:style>
  <w:style w:type="paragraph" w:customStyle="1" w:styleId="16">
    <w:name w:val="图片标题"/>
    <w:basedOn w:val="1"/>
    <w:link w:val="19"/>
    <w:autoRedefine/>
    <w:qFormat/>
    <w:uiPriority w:val="0"/>
    <w:pPr>
      <w:ind w:firstLine="0" w:firstLineChars="0"/>
      <w:jc w:val="center"/>
      <w:outlineLvl w:val="8"/>
    </w:pPr>
    <w:rPr>
      <w:rFonts w:ascii="Times New Roman" w:hAnsi="Times New Roman" w:eastAsia="宋体"/>
    </w:rPr>
  </w:style>
  <w:style w:type="paragraph" w:customStyle="1" w:styleId="17">
    <w:name w:val="表头"/>
    <w:basedOn w:val="1"/>
    <w:qFormat/>
    <w:uiPriority w:val="0"/>
    <w:pPr>
      <w:spacing w:line="240" w:lineRule="auto"/>
      <w:ind w:firstLine="0" w:firstLineChars="0"/>
      <w:jc w:val="center"/>
    </w:pPr>
    <w:rPr>
      <w:rFonts w:eastAsia="楷体"/>
      <w:b/>
      <w:sz w:val="21"/>
    </w:rPr>
  </w:style>
  <w:style w:type="paragraph" w:customStyle="1" w:styleId="18">
    <w:name w:val="表格内容"/>
    <w:basedOn w:val="1"/>
    <w:qFormat/>
    <w:uiPriority w:val="0"/>
    <w:pPr>
      <w:spacing w:line="240" w:lineRule="auto"/>
      <w:ind w:firstLine="0" w:firstLineChars="0"/>
      <w:jc w:val="center"/>
    </w:pPr>
    <w:rPr>
      <w:rFonts w:eastAsia="楷体"/>
      <w:sz w:val="21"/>
    </w:rPr>
  </w:style>
  <w:style w:type="character" w:customStyle="1" w:styleId="19">
    <w:name w:val="图片标题 Char"/>
    <w:link w:val="16"/>
    <w:qFormat/>
    <w:uiPriority w:val="0"/>
    <w:rPr>
      <w:rFonts w:ascii="Times New Roman" w:hAnsi="Times New Roman" w:eastAsia="宋体"/>
      <w:sz w:val="28"/>
    </w:rPr>
  </w:style>
  <w:style w:type="paragraph" w:customStyle="1" w:styleId="20">
    <w:name w:val="Table Text"/>
    <w:basedOn w:val="1"/>
    <w:unhideWhenUsed/>
    <w:qFormat/>
    <w:uiPriority w:val="0"/>
    <w:pPr>
      <w:spacing w:beforeLines="0" w:afterLines="0"/>
    </w:pPr>
    <w:rPr>
      <w:rFonts w:hint="eastAsia" w:ascii="宋体" w:hAnsi="宋体" w:eastAsia="宋体" w:cs="宋体"/>
      <w:sz w:val="24"/>
      <w:szCs w:val="24"/>
    </w:rPr>
  </w:style>
  <w:style w:type="paragraph" w:customStyle="1" w:styleId="21">
    <w:name w:val="Default"/>
    <w:qFormat/>
    <w:uiPriority w:val="0"/>
    <w:pPr>
      <w:widowControl w:val="0"/>
      <w:autoSpaceDE w:val="0"/>
      <w:autoSpaceDN w:val="0"/>
      <w:adjustRightInd w:val="0"/>
      <w:ind w:firstLine="803" w:firstLineChars="200"/>
      <w:jc w:val="both"/>
    </w:pPr>
    <w:rPr>
      <w:rFonts w:hint="eastAsia" w:ascii="Calibri" w:hAnsi="Calibri" w:eastAsia="宋体" w:cs="Times New Roman"/>
      <w:b/>
      <w:color w:val="000000"/>
      <w:kern w:val="0"/>
      <w:sz w:val="24"/>
      <w:szCs w:val="24"/>
      <w:lang w:val="en-US" w:eastAsia="zh-CN" w:bidi="ar-SA"/>
    </w:rPr>
  </w:style>
  <w:style w:type="paragraph" w:customStyle="1" w:styleId="22">
    <w:name w:val="纯文本1"/>
    <w:unhideWhenUsed/>
    <w:qFormat/>
    <w:uiPriority w:val="0"/>
    <w:pPr>
      <w:widowControl w:val="0"/>
      <w:adjustRightInd w:val="0"/>
      <w:ind w:firstLine="803" w:firstLineChars="200"/>
      <w:jc w:val="both"/>
    </w:pPr>
    <w:rPr>
      <w:rFonts w:hint="eastAsia" w:ascii="宋体" w:hAnsi="Courier New" w:eastAsia="宋体" w:cstheme="minorBidi"/>
      <w:kern w:val="2"/>
      <w:sz w:val="21"/>
      <w:szCs w:val="20"/>
      <w:lang w:val="en-US" w:eastAsia="zh-CN" w:bidi="ar-SA"/>
    </w:rPr>
  </w:style>
  <w:style w:type="character" w:customStyle="1" w:styleId="23">
    <w:name w:val="font11"/>
    <w:basedOn w:val="14"/>
    <w:qFormat/>
    <w:uiPriority w:val="0"/>
    <w:rPr>
      <w:rFonts w:hint="eastAsia" w:ascii="宋体" w:hAnsi="宋体" w:eastAsia="宋体" w:cs="宋体"/>
      <w:b/>
      <w:bCs/>
      <w:color w:val="000000"/>
      <w:sz w:val="28"/>
      <w:szCs w:val="28"/>
      <w:u w:val="none"/>
    </w:rPr>
  </w:style>
  <w:style w:type="character" w:customStyle="1" w:styleId="24">
    <w:name w:val="font21"/>
    <w:basedOn w:val="14"/>
    <w:qFormat/>
    <w:uiPriority w:val="0"/>
    <w:rPr>
      <w:rFonts w:hint="eastAsia" w:ascii="宋体" w:hAnsi="宋体" w:eastAsia="宋体" w:cs="宋体"/>
      <w:color w:val="000000"/>
      <w:sz w:val="28"/>
      <w:szCs w:val="28"/>
      <w:u w:val="none"/>
    </w:rPr>
  </w:style>
  <w:style w:type="character" w:customStyle="1" w:styleId="25">
    <w:name w:val="font31"/>
    <w:basedOn w:val="14"/>
    <w:qFormat/>
    <w:uiPriority w:val="0"/>
    <w:rPr>
      <w:rFonts w:hint="default" w:ascii="Times New Roman" w:hAnsi="Times New Roman" w:cs="Times New Roman"/>
      <w:color w:val="000000"/>
      <w:sz w:val="28"/>
      <w:szCs w:val="28"/>
      <w:u w:val="none"/>
    </w:rPr>
  </w:style>
  <w:style w:type="character" w:customStyle="1" w:styleId="26">
    <w:name w:val="font41"/>
    <w:basedOn w:val="14"/>
    <w:qFormat/>
    <w:uiPriority w:val="0"/>
    <w:rPr>
      <w:rFonts w:hint="eastAsia" w:ascii="宋体" w:hAnsi="宋体" w:eastAsia="宋体" w:cs="宋体"/>
      <w:color w:val="000000"/>
      <w:sz w:val="13"/>
      <w:szCs w:val="13"/>
      <w:u w:val="none"/>
    </w:rPr>
  </w:style>
  <w:style w:type="table" w:customStyle="1" w:styleId="2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4955</Words>
  <Characters>5793</Characters>
  <Lines>0</Lines>
  <Paragraphs>0</Paragraphs>
  <TotalTime>10</TotalTime>
  <ScaleCrop>false</ScaleCrop>
  <LinksUpToDate>false</LinksUpToDate>
  <CharactersWithSpaces>5886</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2024-05-08T01:00:00Z</dcterms:created>
  <dc:creator>Administrator</dc:creator>
  <cp:lastModifiedBy>枫雨灬少关丶</cp:lastModifiedBy>
  <dcterms:modified xsi:type="dcterms:W3CDTF">2025-06-27T01:47:31Z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ED3765BDA2224399B6AF5BD6B05C6D61_13</vt:lpwstr>
  </property>
  <property fmtid="{D5CDD505-2E9C-101B-9397-08002B2CF9AE}" pid="4" name="KSOTemplateDocerSaveRecord">
    <vt:lpwstr>eyJoZGlkIjoiMTExZmJiYWRkNGFkMjU4ZDM4MzNmNTY2Mzg5YjI0ZjEiLCJ1c2VySWQiOiIyMzUxMTY5ODUifQ==</vt:lpwstr>
  </property>
</Properties>
</file>