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JPG" ContentType="image/.jpg"/>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096952">
      <w:pPr>
        <w:jc w:val="center"/>
        <w:rPr>
          <w:rFonts w:hint="default" w:ascii="Times New Roman" w:hAnsi="Times New Roman" w:eastAsia="宋体" w:cs="Times New Roman"/>
          <w:sz w:val="44"/>
          <w:szCs w:val="44"/>
        </w:rPr>
      </w:pPr>
      <w:bookmarkStart w:id="18" w:name="_GoBack"/>
      <w:bookmarkEnd w:id="18"/>
      <w:r>
        <w:rPr>
          <w:rFonts w:hint="eastAsia" w:eastAsia="宋体"/>
          <w:lang w:eastAsia="zh-CN"/>
        </w:rPr>
        <w:drawing>
          <wp:anchor distT="0" distB="0" distL="114300" distR="114300" simplePos="0" relativeHeight="251659264" behindDoc="0" locked="0" layoutInCell="1" allowOverlap="1">
            <wp:simplePos x="0" y="0"/>
            <wp:positionH relativeFrom="column">
              <wp:posOffset>-1122045</wp:posOffset>
            </wp:positionH>
            <wp:positionV relativeFrom="paragraph">
              <wp:posOffset>-881380</wp:posOffset>
            </wp:positionV>
            <wp:extent cx="7557770" cy="10621010"/>
            <wp:effectExtent l="0" t="0" r="5080" b="8890"/>
            <wp:wrapNone/>
            <wp:docPr id="436" name="图片 436" descr="温室气体排放报告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图片 436" descr="温室气体排放报告_01"/>
                    <pic:cNvPicPr>
                      <a:picLocks noChangeAspect="1"/>
                    </pic:cNvPicPr>
                  </pic:nvPicPr>
                  <pic:blipFill>
                    <a:blip r:embed="rId10"/>
                    <a:stretch>
                      <a:fillRect/>
                    </a:stretch>
                  </pic:blipFill>
                  <pic:spPr>
                    <a:xfrm>
                      <a:off x="0" y="0"/>
                      <a:ext cx="7557770" cy="10621010"/>
                    </a:xfrm>
                    <a:prstGeom prst="rect">
                      <a:avLst/>
                    </a:prstGeom>
                  </pic:spPr>
                </pic:pic>
              </a:graphicData>
            </a:graphic>
          </wp:anchor>
        </w:drawing>
      </w:r>
    </w:p>
    <w:p w14:paraId="16D346A9">
      <w:pPr>
        <w:jc w:val="center"/>
        <w:rPr>
          <w:rFonts w:hint="default" w:ascii="Times New Roman" w:hAnsi="Times New Roman" w:eastAsia="宋体" w:cs="Times New Roman"/>
          <w:sz w:val="44"/>
          <w:szCs w:val="44"/>
        </w:rPr>
      </w:pPr>
    </w:p>
    <w:p w14:paraId="554229C1">
      <w:pPr>
        <w:jc w:val="center"/>
        <w:rPr>
          <w:rFonts w:hint="default" w:ascii="Times New Roman" w:hAnsi="Times New Roman" w:eastAsia="宋体" w:cs="Times New Roman"/>
          <w:sz w:val="44"/>
          <w:szCs w:val="44"/>
        </w:rPr>
      </w:pPr>
    </w:p>
    <w:p w14:paraId="116F3BE6">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方正小标宋简体" w:hAnsi="方正小标宋简体" w:eastAsia="方正小标宋简体" w:cs="方正小标宋简体"/>
          <w:sz w:val="48"/>
          <w:szCs w:val="48"/>
          <w:lang w:val="en-US" w:eastAsia="zh-CN"/>
        </w:rPr>
      </w:pPr>
      <w:r>
        <w:rPr>
          <w:rFonts w:hint="default" w:ascii="方正小标宋简体" w:hAnsi="方正小标宋简体" w:eastAsia="方正小标宋简体" w:cs="方正小标宋简体"/>
          <w:sz w:val="48"/>
          <w:szCs w:val="48"/>
          <w:lang w:val="en-US" w:eastAsia="zh-CN"/>
        </w:rPr>
        <w:t>202</w:t>
      </w:r>
      <w:r>
        <w:rPr>
          <w:rFonts w:hint="eastAsia" w:ascii="方正小标宋简体" w:hAnsi="方正小标宋简体" w:eastAsia="方正小标宋简体" w:cs="方正小标宋简体"/>
          <w:sz w:val="48"/>
          <w:szCs w:val="48"/>
          <w:lang w:val="en-US" w:eastAsia="zh-CN"/>
        </w:rPr>
        <w:t>4</w:t>
      </w:r>
      <w:r>
        <w:rPr>
          <w:rFonts w:hint="default" w:ascii="方正小标宋简体" w:hAnsi="方正小标宋简体" w:eastAsia="方正小标宋简体" w:cs="方正小标宋简体"/>
          <w:sz w:val="48"/>
          <w:szCs w:val="48"/>
          <w:lang w:val="en-US" w:eastAsia="zh-CN"/>
        </w:rPr>
        <w:t>年度温室气体排放报告</w:t>
      </w:r>
    </w:p>
    <w:p w14:paraId="2E49DA88">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bCs/>
          <w:sz w:val="44"/>
          <w:szCs w:val="44"/>
          <w:lang w:eastAsia="zh-CN"/>
        </w:rPr>
      </w:pPr>
      <w:r>
        <w:rPr>
          <w:rFonts w:hint="eastAsia" w:ascii="方正小标宋简体" w:hAnsi="方正小标宋简体" w:eastAsia="方正小标宋简体" w:cs="方正小标宋简体"/>
          <w:sz w:val="48"/>
          <w:szCs w:val="48"/>
          <w:lang w:val="en-US" w:eastAsia="zh-CN"/>
        </w:rPr>
        <w:t>安徽汉马发动机</w:t>
      </w:r>
      <w:r>
        <w:rPr>
          <w:rFonts w:hint="default" w:ascii="方正小标宋简体" w:hAnsi="方正小标宋简体" w:eastAsia="方正小标宋简体" w:cs="方正小标宋简体"/>
          <w:sz w:val="48"/>
          <w:szCs w:val="48"/>
          <w:lang w:val="en-US" w:eastAsia="zh-CN"/>
        </w:rPr>
        <w:t>有限公司</w:t>
      </w:r>
    </w:p>
    <w:p w14:paraId="63CAA33C">
      <w:pPr>
        <w:jc w:val="center"/>
        <w:rPr>
          <w:rFonts w:hint="default" w:ascii="Times New Roman" w:hAnsi="Times New Roman" w:eastAsia="宋体" w:cs="Times New Roman"/>
          <w:sz w:val="44"/>
          <w:szCs w:val="44"/>
        </w:rPr>
      </w:pPr>
    </w:p>
    <w:p w14:paraId="2CA9DB9C">
      <w:pPr>
        <w:jc w:val="center"/>
        <w:rPr>
          <w:rFonts w:hint="default" w:ascii="Times New Roman" w:hAnsi="Times New Roman" w:eastAsia="宋体" w:cs="Times New Roman"/>
        </w:rPr>
      </w:pPr>
    </w:p>
    <w:p w14:paraId="2E9ED42B">
      <w:pPr>
        <w:jc w:val="center"/>
        <w:rPr>
          <w:rFonts w:hint="default" w:ascii="Times New Roman" w:hAnsi="Times New Roman" w:eastAsia="宋体" w:cs="Times New Roman"/>
        </w:rPr>
      </w:pPr>
    </w:p>
    <w:p w14:paraId="4670571C">
      <w:pPr>
        <w:jc w:val="center"/>
        <w:rPr>
          <w:rFonts w:hint="default" w:ascii="Times New Roman" w:hAnsi="Times New Roman" w:eastAsia="宋体" w:cs="Times New Roman"/>
        </w:rPr>
      </w:pPr>
    </w:p>
    <w:p w14:paraId="65D40885">
      <w:pPr>
        <w:jc w:val="center"/>
        <w:rPr>
          <w:rFonts w:hint="default" w:ascii="Times New Roman" w:hAnsi="Times New Roman" w:eastAsia="宋体" w:cs="Times New Roman"/>
        </w:rPr>
      </w:pPr>
    </w:p>
    <w:p w14:paraId="6D6B0347">
      <w:pPr>
        <w:jc w:val="center"/>
        <w:rPr>
          <w:rFonts w:hint="default" w:ascii="Times New Roman" w:hAnsi="Times New Roman" w:eastAsia="宋体" w:cs="Times New Roman"/>
        </w:rPr>
      </w:pPr>
    </w:p>
    <w:p w14:paraId="0F54B811">
      <w:pPr>
        <w:jc w:val="center"/>
        <w:rPr>
          <w:rFonts w:hint="default" w:ascii="Times New Roman" w:hAnsi="Times New Roman" w:eastAsia="宋体" w:cs="Times New Roman"/>
        </w:rPr>
      </w:pPr>
    </w:p>
    <w:p w14:paraId="2827BA7C">
      <w:pPr>
        <w:jc w:val="center"/>
        <w:rPr>
          <w:rFonts w:hint="default" w:ascii="Times New Roman" w:hAnsi="Times New Roman" w:eastAsia="宋体" w:cs="Times New Roman"/>
        </w:rPr>
      </w:pPr>
    </w:p>
    <w:p w14:paraId="569FBC57">
      <w:pPr>
        <w:jc w:val="center"/>
        <w:rPr>
          <w:rFonts w:hint="default" w:ascii="Times New Roman" w:hAnsi="Times New Roman" w:eastAsia="宋体" w:cs="Times New Roman"/>
        </w:rPr>
      </w:pPr>
    </w:p>
    <w:p w14:paraId="7FEDE8F8">
      <w:pPr>
        <w:jc w:val="center"/>
        <w:rPr>
          <w:rFonts w:hint="default" w:ascii="Times New Roman" w:hAnsi="Times New Roman" w:eastAsia="宋体" w:cs="Times New Roman"/>
        </w:rPr>
      </w:pPr>
    </w:p>
    <w:p w14:paraId="24E8D4FF">
      <w:pPr>
        <w:jc w:val="center"/>
        <w:rPr>
          <w:rFonts w:hint="default" w:ascii="Times New Roman" w:hAnsi="Times New Roman" w:eastAsia="宋体" w:cs="Times New Roman"/>
        </w:rPr>
      </w:pPr>
    </w:p>
    <w:p w14:paraId="5622B6A5">
      <w:pPr>
        <w:jc w:val="center"/>
        <w:rPr>
          <w:rFonts w:hint="default" w:ascii="Times New Roman" w:hAnsi="Times New Roman" w:eastAsia="宋体" w:cs="Times New Roman"/>
        </w:rPr>
      </w:pPr>
    </w:p>
    <w:p w14:paraId="333D53BB">
      <w:pPr>
        <w:keepNext w:val="0"/>
        <w:keepLines w:val="0"/>
        <w:pageBreakBefore w:val="0"/>
        <w:widowControl w:val="0"/>
        <w:kinsoku/>
        <w:wordWrap/>
        <w:overflowPunct/>
        <w:topLinePunct w:val="0"/>
        <w:autoSpaceDE/>
        <w:autoSpaceDN/>
        <w:bidi w:val="0"/>
        <w:adjustRightInd/>
        <w:snapToGrid/>
        <w:spacing w:line="360" w:lineRule="auto"/>
        <w:ind w:firstLine="1205" w:firstLineChars="400"/>
        <w:textAlignment w:val="auto"/>
        <w:rPr>
          <w:rFonts w:hint="eastAsia" w:asciiTheme="majorEastAsia" w:hAnsiTheme="majorEastAsia" w:eastAsiaTheme="majorEastAsia" w:cstheme="majorEastAsia"/>
          <w:b/>
          <w:bCs/>
          <w:sz w:val="30"/>
          <w:szCs w:val="30"/>
          <w:lang w:val="en-US" w:eastAsia="zh-CN"/>
        </w:rPr>
      </w:pPr>
      <w:r>
        <w:rPr>
          <w:rFonts w:hint="eastAsia" w:asciiTheme="majorEastAsia" w:hAnsiTheme="majorEastAsia" w:eastAsiaTheme="majorEastAsia" w:cstheme="majorEastAsia"/>
          <w:b/>
          <w:bCs/>
          <w:sz w:val="30"/>
          <w:szCs w:val="30"/>
          <w:lang w:val="en-US" w:eastAsia="zh-CN"/>
        </w:rPr>
        <w:t>报告主体（盖章）：安徽汉马发动机有限公司</w:t>
      </w:r>
    </w:p>
    <w:p w14:paraId="61A3BD11">
      <w:pPr>
        <w:keepNext w:val="0"/>
        <w:keepLines w:val="0"/>
        <w:pageBreakBefore w:val="0"/>
        <w:widowControl w:val="0"/>
        <w:kinsoku/>
        <w:wordWrap/>
        <w:overflowPunct/>
        <w:topLinePunct w:val="0"/>
        <w:autoSpaceDE/>
        <w:autoSpaceDN/>
        <w:bidi w:val="0"/>
        <w:adjustRightInd/>
        <w:snapToGrid/>
        <w:spacing w:line="360" w:lineRule="auto"/>
        <w:ind w:firstLine="1205" w:firstLineChars="400"/>
        <w:textAlignment w:val="auto"/>
        <w:rPr>
          <w:rFonts w:hint="eastAsia" w:asciiTheme="majorEastAsia" w:hAnsiTheme="majorEastAsia" w:eastAsiaTheme="majorEastAsia" w:cstheme="majorEastAsia"/>
          <w:b/>
          <w:bCs/>
          <w:sz w:val="30"/>
          <w:szCs w:val="30"/>
          <w:lang w:val="en-US" w:eastAsia="zh-CN"/>
        </w:rPr>
      </w:pPr>
      <w:r>
        <w:rPr>
          <w:rFonts w:hint="eastAsia" w:asciiTheme="majorEastAsia" w:hAnsiTheme="majorEastAsia" w:eastAsiaTheme="majorEastAsia" w:cstheme="majorEastAsia"/>
          <w:b/>
          <w:bCs/>
          <w:sz w:val="30"/>
          <w:szCs w:val="30"/>
          <w:lang w:val="en-US" w:eastAsia="zh-CN"/>
        </w:rPr>
        <w:t>报告年度：2024年度</w:t>
      </w:r>
    </w:p>
    <w:p w14:paraId="76123D0C">
      <w:pPr>
        <w:keepNext w:val="0"/>
        <w:keepLines w:val="0"/>
        <w:pageBreakBefore w:val="0"/>
        <w:widowControl w:val="0"/>
        <w:kinsoku/>
        <w:wordWrap/>
        <w:overflowPunct/>
        <w:topLinePunct w:val="0"/>
        <w:autoSpaceDE/>
        <w:autoSpaceDN/>
        <w:bidi w:val="0"/>
        <w:adjustRightInd/>
        <w:snapToGrid/>
        <w:spacing w:line="360" w:lineRule="auto"/>
        <w:ind w:firstLine="1205" w:firstLineChars="400"/>
        <w:textAlignment w:val="auto"/>
        <w:rPr>
          <w:rFonts w:hint="eastAsia" w:asciiTheme="majorEastAsia" w:hAnsiTheme="majorEastAsia" w:eastAsiaTheme="majorEastAsia" w:cstheme="majorEastAsia"/>
          <w:b/>
          <w:bCs/>
          <w:sz w:val="30"/>
          <w:szCs w:val="30"/>
          <w:lang w:val="en-US" w:eastAsia="zh-CN"/>
        </w:rPr>
      </w:pPr>
      <w:r>
        <w:rPr>
          <w:rFonts w:hint="eastAsia" w:asciiTheme="majorEastAsia" w:hAnsiTheme="majorEastAsia" w:eastAsiaTheme="majorEastAsia" w:cstheme="majorEastAsia"/>
          <w:b/>
          <w:bCs/>
          <w:sz w:val="30"/>
          <w:szCs w:val="30"/>
          <w:lang w:val="en-US" w:eastAsia="zh-CN"/>
        </w:rPr>
        <w:t>编制日期：2025年04月</w:t>
      </w:r>
    </w:p>
    <w:p w14:paraId="7D1A1FCB">
      <w:pPr>
        <w:jc w:val="left"/>
        <w:rPr>
          <w:rFonts w:hint="default" w:ascii="Times New Roman" w:hAnsi="Times New Roman" w:eastAsia="宋体" w:cs="Times New Roman"/>
          <w:b/>
          <w:bCs/>
          <w:sz w:val="24"/>
          <w:szCs w:val="24"/>
        </w:rPr>
      </w:pPr>
    </w:p>
    <w:p w14:paraId="102C6D90">
      <w:pPr>
        <w:jc w:val="left"/>
        <w:rPr>
          <w:rFonts w:hint="default" w:ascii="Times New Roman" w:hAnsi="Times New Roman" w:eastAsia="宋体" w:cs="Times New Roman"/>
          <w:b/>
          <w:bCs/>
          <w:sz w:val="24"/>
          <w:szCs w:val="24"/>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12F6A2A1">
      <w:pPr>
        <w:pStyle w:val="4"/>
        <w:bidi w:val="0"/>
        <w:jc w:val="center"/>
        <w:rPr>
          <w:rFonts w:hint="default"/>
        </w:rPr>
      </w:pPr>
      <w:r>
        <w:rPr>
          <w:rFonts w:hint="default"/>
          <w:lang w:val="zh-CN"/>
        </w:rPr>
        <w:t>目</w:t>
      </w:r>
      <w:r>
        <w:rPr>
          <w:rFonts w:hint="eastAsia"/>
          <w:lang w:val="en-US" w:eastAsia="zh-CN"/>
        </w:rPr>
        <w:t xml:space="preserve"> </w:t>
      </w:r>
      <w:r>
        <w:rPr>
          <w:rFonts w:hint="default"/>
          <w:lang w:val="zh-CN"/>
        </w:rPr>
        <w:t>录</w:t>
      </w:r>
    </w:p>
    <w:p w14:paraId="79B59860">
      <w:pPr>
        <w:pStyle w:val="9"/>
        <w:keepNext w:val="0"/>
        <w:keepLines w:val="0"/>
        <w:pageBreakBefore w:val="0"/>
        <w:widowControl w:val="0"/>
        <w:tabs>
          <w:tab w:val="right" w:leader="dot" w:pos="8306"/>
        </w:tabs>
        <w:kinsoku/>
        <w:wordWrap/>
        <w:overflowPunct/>
        <w:topLinePunct w:val="0"/>
        <w:autoSpaceDE/>
        <w:autoSpaceDN/>
        <w:bidi w:val="0"/>
        <w:adjustRightInd/>
        <w:snapToGrid w:val="0"/>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TOC \o "1-3" \h \z \u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_Toc20206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1  编制依据</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_Toc20206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14:paraId="7035C33C">
      <w:pPr>
        <w:pStyle w:val="9"/>
        <w:keepNext w:val="0"/>
        <w:keepLines w:val="0"/>
        <w:pageBreakBefore w:val="0"/>
        <w:widowControl w:val="0"/>
        <w:tabs>
          <w:tab w:val="right" w:leader="dot" w:pos="8306"/>
        </w:tabs>
        <w:kinsoku/>
        <w:wordWrap/>
        <w:overflowPunct/>
        <w:topLinePunct w:val="0"/>
        <w:autoSpaceDE/>
        <w:autoSpaceDN/>
        <w:bidi w:val="0"/>
        <w:adjustRightInd/>
        <w:snapToGrid w:val="0"/>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Cs/>
          <w:sz w:val="32"/>
          <w:szCs w:val="32"/>
          <w:lang w:val="zh-CN"/>
        </w:rPr>
        <w:fldChar w:fldCharType="begin"/>
      </w:r>
      <w:r>
        <w:rPr>
          <w:rFonts w:hint="default" w:ascii="Times New Roman" w:hAnsi="Times New Roman" w:eastAsia="仿宋_GB2312" w:cs="Times New Roman"/>
          <w:bCs/>
          <w:sz w:val="32"/>
          <w:szCs w:val="32"/>
          <w:lang w:val="zh-CN"/>
        </w:rPr>
        <w:instrText xml:space="preserve"> HYPERLINK \l _Toc707 </w:instrText>
      </w:r>
      <w:r>
        <w:rPr>
          <w:rFonts w:hint="default" w:ascii="Times New Roman" w:hAnsi="Times New Roman" w:eastAsia="仿宋_GB2312" w:cs="Times New Roman"/>
          <w:bCs/>
          <w:sz w:val="32"/>
          <w:szCs w:val="32"/>
          <w:lang w:val="zh-CN"/>
        </w:rPr>
        <w:fldChar w:fldCharType="separate"/>
      </w:r>
      <w:r>
        <w:rPr>
          <w:rFonts w:hint="default" w:ascii="Times New Roman" w:hAnsi="Times New Roman" w:eastAsia="仿宋_GB2312" w:cs="Times New Roman"/>
          <w:sz w:val="32"/>
          <w:szCs w:val="32"/>
        </w:rPr>
        <w:t>2  企业基本情况</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_Toc707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bCs/>
          <w:sz w:val="32"/>
          <w:szCs w:val="32"/>
          <w:lang w:val="zh-CN"/>
        </w:rPr>
        <w:fldChar w:fldCharType="end"/>
      </w:r>
    </w:p>
    <w:p w14:paraId="36B8476A">
      <w:pPr>
        <w:pStyle w:val="10"/>
        <w:keepNext w:val="0"/>
        <w:keepLines w:val="0"/>
        <w:pageBreakBefore w:val="0"/>
        <w:widowControl w:val="0"/>
        <w:tabs>
          <w:tab w:val="right" w:leader="dot" w:pos="8306"/>
        </w:tabs>
        <w:kinsoku/>
        <w:wordWrap/>
        <w:overflowPunct/>
        <w:topLinePunct w:val="0"/>
        <w:autoSpaceDE/>
        <w:autoSpaceDN/>
        <w:bidi w:val="0"/>
        <w:adjustRightInd/>
        <w:snapToGrid w:val="0"/>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Cs/>
          <w:sz w:val="32"/>
          <w:szCs w:val="32"/>
          <w:lang w:val="zh-CN"/>
        </w:rPr>
        <w:fldChar w:fldCharType="begin"/>
      </w:r>
      <w:r>
        <w:rPr>
          <w:rFonts w:hint="default" w:ascii="Times New Roman" w:hAnsi="Times New Roman" w:eastAsia="仿宋_GB2312" w:cs="Times New Roman"/>
          <w:bCs/>
          <w:sz w:val="32"/>
          <w:szCs w:val="32"/>
          <w:lang w:val="zh-CN"/>
        </w:rPr>
        <w:instrText xml:space="preserve"> HYPERLINK \l _Toc23950 </w:instrText>
      </w:r>
      <w:r>
        <w:rPr>
          <w:rFonts w:hint="default" w:ascii="Times New Roman" w:hAnsi="Times New Roman" w:eastAsia="仿宋_GB2312" w:cs="Times New Roman"/>
          <w:bCs/>
          <w:sz w:val="32"/>
          <w:szCs w:val="32"/>
          <w:lang w:val="zh-CN"/>
        </w:rPr>
        <w:fldChar w:fldCharType="separate"/>
      </w:r>
      <w:r>
        <w:rPr>
          <w:rFonts w:hint="default" w:ascii="Times New Roman" w:hAnsi="Times New Roman" w:eastAsia="仿宋_GB2312" w:cs="Times New Roman"/>
          <w:sz w:val="32"/>
          <w:szCs w:val="32"/>
        </w:rPr>
        <w:t>2.1  基本信息一览</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_Toc23950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bCs/>
          <w:sz w:val="32"/>
          <w:szCs w:val="32"/>
          <w:lang w:val="zh-CN"/>
        </w:rPr>
        <w:fldChar w:fldCharType="end"/>
      </w:r>
    </w:p>
    <w:p w14:paraId="4D734F87">
      <w:pPr>
        <w:pStyle w:val="10"/>
        <w:keepNext w:val="0"/>
        <w:keepLines w:val="0"/>
        <w:pageBreakBefore w:val="0"/>
        <w:widowControl w:val="0"/>
        <w:tabs>
          <w:tab w:val="right" w:leader="dot" w:pos="8306"/>
        </w:tabs>
        <w:kinsoku/>
        <w:wordWrap/>
        <w:overflowPunct/>
        <w:topLinePunct w:val="0"/>
        <w:autoSpaceDE/>
        <w:autoSpaceDN/>
        <w:bidi w:val="0"/>
        <w:adjustRightInd/>
        <w:snapToGrid w:val="0"/>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Cs/>
          <w:sz w:val="32"/>
          <w:szCs w:val="32"/>
          <w:lang w:val="zh-CN"/>
        </w:rPr>
        <w:fldChar w:fldCharType="begin"/>
      </w:r>
      <w:r>
        <w:rPr>
          <w:rFonts w:hint="default" w:ascii="Times New Roman" w:hAnsi="Times New Roman" w:eastAsia="仿宋_GB2312" w:cs="Times New Roman"/>
          <w:bCs/>
          <w:sz w:val="32"/>
          <w:szCs w:val="32"/>
          <w:lang w:val="zh-CN"/>
        </w:rPr>
        <w:instrText xml:space="preserve"> HYPERLINK \l _Toc16061 </w:instrText>
      </w:r>
      <w:r>
        <w:rPr>
          <w:rFonts w:hint="default" w:ascii="Times New Roman" w:hAnsi="Times New Roman" w:eastAsia="仿宋_GB2312" w:cs="Times New Roman"/>
          <w:bCs/>
          <w:sz w:val="32"/>
          <w:szCs w:val="32"/>
          <w:lang w:val="zh-CN"/>
        </w:rPr>
        <w:fldChar w:fldCharType="separate"/>
      </w:r>
      <w:r>
        <w:rPr>
          <w:rFonts w:hint="default" w:ascii="Times New Roman" w:hAnsi="Times New Roman" w:eastAsia="仿宋_GB2312" w:cs="Times New Roman"/>
          <w:sz w:val="32"/>
          <w:szCs w:val="32"/>
        </w:rPr>
        <w:t>2.2  组织机构描述</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_Toc16061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4</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bCs/>
          <w:sz w:val="32"/>
          <w:szCs w:val="32"/>
          <w:lang w:val="zh-CN"/>
        </w:rPr>
        <w:fldChar w:fldCharType="end"/>
      </w:r>
    </w:p>
    <w:p w14:paraId="41438957">
      <w:pPr>
        <w:pStyle w:val="10"/>
        <w:keepNext w:val="0"/>
        <w:keepLines w:val="0"/>
        <w:pageBreakBefore w:val="0"/>
        <w:widowControl w:val="0"/>
        <w:tabs>
          <w:tab w:val="right" w:leader="dot" w:pos="8306"/>
        </w:tabs>
        <w:kinsoku/>
        <w:wordWrap/>
        <w:overflowPunct/>
        <w:topLinePunct w:val="0"/>
        <w:autoSpaceDE/>
        <w:autoSpaceDN/>
        <w:bidi w:val="0"/>
        <w:adjustRightInd/>
        <w:snapToGrid w:val="0"/>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Cs/>
          <w:sz w:val="32"/>
          <w:szCs w:val="32"/>
          <w:lang w:val="zh-CN"/>
        </w:rPr>
        <w:fldChar w:fldCharType="begin"/>
      </w:r>
      <w:r>
        <w:rPr>
          <w:rFonts w:hint="default" w:ascii="Times New Roman" w:hAnsi="Times New Roman" w:eastAsia="仿宋_GB2312" w:cs="Times New Roman"/>
          <w:bCs/>
          <w:sz w:val="32"/>
          <w:szCs w:val="32"/>
          <w:lang w:val="zh-CN"/>
        </w:rPr>
        <w:instrText xml:space="preserve"> HYPERLINK \l _Toc2350 </w:instrText>
      </w:r>
      <w:r>
        <w:rPr>
          <w:rFonts w:hint="default" w:ascii="Times New Roman" w:hAnsi="Times New Roman" w:eastAsia="仿宋_GB2312" w:cs="Times New Roman"/>
          <w:bCs/>
          <w:sz w:val="32"/>
          <w:szCs w:val="32"/>
          <w:lang w:val="zh-CN"/>
        </w:rPr>
        <w:fldChar w:fldCharType="separate"/>
      </w:r>
      <w:r>
        <w:rPr>
          <w:rFonts w:hint="default" w:ascii="Times New Roman" w:hAnsi="Times New Roman" w:eastAsia="仿宋_GB2312" w:cs="Times New Roman"/>
          <w:sz w:val="32"/>
          <w:szCs w:val="32"/>
        </w:rPr>
        <w:t>2.3  工艺流程简介</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_Toc2350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6</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bCs/>
          <w:sz w:val="32"/>
          <w:szCs w:val="32"/>
          <w:lang w:val="zh-CN"/>
        </w:rPr>
        <w:fldChar w:fldCharType="end"/>
      </w:r>
    </w:p>
    <w:p w14:paraId="19544793">
      <w:pPr>
        <w:pStyle w:val="10"/>
        <w:keepNext w:val="0"/>
        <w:keepLines w:val="0"/>
        <w:pageBreakBefore w:val="0"/>
        <w:widowControl w:val="0"/>
        <w:tabs>
          <w:tab w:val="right" w:leader="dot" w:pos="8306"/>
        </w:tabs>
        <w:kinsoku/>
        <w:wordWrap/>
        <w:overflowPunct/>
        <w:topLinePunct w:val="0"/>
        <w:autoSpaceDE/>
        <w:autoSpaceDN/>
        <w:bidi w:val="0"/>
        <w:adjustRightInd/>
        <w:snapToGrid w:val="0"/>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Cs/>
          <w:sz w:val="32"/>
          <w:szCs w:val="32"/>
          <w:lang w:val="zh-CN"/>
        </w:rPr>
        <w:fldChar w:fldCharType="begin"/>
      </w:r>
      <w:r>
        <w:rPr>
          <w:rFonts w:hint="default" w:ascii="Times New Roman" w:hAnsi="Times New Roman" w:eastAsia="仿宋_GB2312" w:cs="Times New Roman"/>
          <w:bCs/>
          <w:sz w:val="32"/>
          <w:szCs w:val="32"/>
          <w:lang w:val="zh-CN"/>
        </w:rPr>
        <w:instrText xml:space="preserve"> HYPERLINK \l _Toc22481 </w:instrText>
      </w:r>
      <w:r>
        <w:rPr>
          <w:rFonts w:hint="default" w:ascii="Times New Roman" w:hAnsi="Times New Roman" w:eastAsia="仿宋_GB2312" w:cs="Times New Roman"/>
          <w:bCs/>
          <w:sz w:val="32"/>
          <w:szCs w:val="32"/>
          <w:lang w:val="zh-CN"/>
        </w:rPr>
        <w:fldChar w:fldCharType="separate"/>
      </w:r>
      <w:r>
        <w:rPr>
          <w:rFonts w:hint="default" w:ascii="Times New Roman" w:hAnsi="Times New Roman" w:eastAsia="仿宋_GB2312" w:cs="Times New Roman"/>
          <w:sz w:val="32"/>
          <w:szCs w:val="32"/>
        </w:rPr>
        <w:t>2.4  核算单元划分及排放源识别</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_Toc22481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9</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bCs/>
          <w:sz w:val="32"/>
          <w:szCs w:val="32"/>
          <w:lang w:val="zh-CN"/>
        </w:rPr>
        <w:fldChar w:fldCharType="end"/>
      </w:r>
    </w:p>
    <w:p w14:paraId="07C1EAB8">
      <w:pPr>
        <w:pStyle w:val="9"/>
        <w:keepNext w:val="0"/>
        <w:keepLines w:val="0"/>
        <w:pageBreakBefore w:val="0"/>
        <w:widowControl w:val="0"/>
        <w:tabs>
          <w:tab w:val="right" w:leader="dot" w:pos="8306"/>
        </w:tabs>
        <w:kinsoku/>
        <w:wordWrap/>
        <w:overflowPunct/>
        <w:topLinePunct w:val="0"/>
        <w:autoSpaceDE/>
        <w:autoSpaceDN/>
        <w:bidi w:val="0"/>
        <w:adjustRightInd/>
        <w:snapToGrid w:val="0"/>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Cs/>
          <w:sz w:val="32"/>
          <w:szCs w:val="32"/>
          <w:lang w:val="zh-CN"/>
        </w:rPr>
        <w:fldChar w:fldCharType="begin"/>
      </w:r>
      <w:r>
        <w:rPr>
          <w:rFonts w:hint="default" w:ascii="Times New Roman" w:hAnsi="Times New Roman" w:eastAsia="仿宋_GB2312" w:cs="Times New Roman"/>
          <w:bCs/>
          <w:sz w:val="32"/>
          <w:szCs w:val="32"/>
          <w:lang w:val="zh-CN"/>
        </w:rPr>
        <w:instrText xml:space="preserve"> HYPERLINK \l _Toc14895 </w:instrText>
      </w:r>
      <w:r>
        <w:rPr>
          <w:rFonts w:hint="default" w:ascii="Times New Roman" w:hAnsi="Times New Roman" w:eastAsia="仿宋_GB2312" w:cs="Times New Roman"/>
          <w:bCs/>
          <w:sz w:val="32"/>
          <w:szCs w:val="32"/>
          <w:lang w:val="zh-CN"/>
        </w:rPr>
        <w:fldChar w:fldCharType="separate"/>
      </w:r>
      <w:r>
        <w:rPr>
          <w:rFonts w:hint="default" w:ascii="Times New Roman" w:hAnsi="Times New Roman" w:eastAsia="仿宋_GB2312" w:cs="Times New Roman"/>
          <w:sz w:val="32"/>
          <w:szCs w:val="32"/>
        </w:rPr>
        <w:t>3  温室气体排放</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_Toc14895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12</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bCs/>
          <w:sz w:val="32"/>
          <w:szCs w:val="32"/>
          <w:lang w:val="zh-CN"/>
        </w:rPr>
        <w:fldChar w:fldCharType="end"/>
      </w:r>
    </w:p>
    <w:p w14:paraId="270E9C7C">
      <w:pPr>
        <w:pStyle w:val="10"/>
        <w:keepNext w:val="0"/>
        <w:keepLines w:val="0"/>
        <w:pageBreakBefore w:val="0"/>
        <w:widowControl w:val="0"/>
        <w:tabs>
          <w:tab w:val="right" w:leader="dot" w:pos="8306"/>
        </w:tabs>
        <w:kinsoku/>
        <w:wordWrap/>
        <w:overflowPunct/>
        <w:topLinePunct w:val="0"/>
        <w:autoSpaceDE/>
        <w:autoSpaceDN/>
        <w:bidi w:val="0"/>
        <w:adjustRightInd/>
        <w:snapToGrid w:val="0"/>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Cs/>
          <w:sz w:val="32"/>
          <w:szCs w:val="32"/>
          <w:lang w:val="zh-CN"/>
        </w:rPr>
        <w:fldChar w:fldCharType="begin"/>
      </w:r>
      <w:r>
        <w:rPr>
          <w:rFonts w:hint="default" w:ascii="Times New Roman" w:hAnsi="Times New Roman" w:eastAsia="仿宋_GB2312" w:cs="Times New Roman"/>
          <w:bCs/>
          <w:sz w:val="32"/>
          <w:szCs w:val="32"/>
          <w:lang w:val="zh-CN"/>
        </w:rPr>
        <w:instrText xml:space="preserve"> HYPERLINK \l _Toc24498 </w:instrText>
      </w:r>
      <w:r>
        <w:rPr>
          <w:rFonts w:hint="default" w:ascii="Times New Roman" w:hAnsi="Times New Roman" w:eastAsia="仿宋_GB2312" w:cs="Times New Roman"/>
          <w:bCs/>
          <w:sz w:val="32"/>
          <w:szCs w:val="32"/>
          <w:lang w:val="zh-CN"/>
        </w:rPr>
        <w:fldChar w:fldCharType="separate"/>
      </w:r>
      <w:r>
        <w:rPr>
          <w:rFonts w:hint="default" w:ascii="Times New Roman" w:hAnsi="Times New Roman" w:eastAsia="仿宋_GB2312" w:cs="Times New Roman"/>
          <w:sz w:val="32"/>
          <w:szCs w:val="32"/>
        </w:rPr>
        <w:t>3.1 各排放源分项计算</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_Toc24498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12</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bCs/>
          <w:sz w:val="32"/>
          <w:szCs w:val="32"/>
          <w:lang w:val="zh-CN"/>
        </w:rPr>
        <w:fldChar w:fldCharType="end"/>
      </w:r>
    </w:p>
    <w:p w14:paraId="0F0A7EC9">
      <w:pPr>
        <w:pStyle w:val="10"/>
        <w:keepNext w:val="0"/>
        <w:keepLines w:val="0"/>
        <w:pageBreakBefore w:val="0"/>
        <w:widowControl w:val="0"/>
        <w:tabs>
          <w:tab w:val="right" w:leader="dot" w:pos="8306"/>
        </w:tabs>
        <w:kinsoku/>
        <w:wordWrap/>
        <w:overflowPunct/>
        <w:topLinePunct w:val="0"/>
        <w:autoSpaceDE/>
        <w:autoSpaceDN/>
        <w:bidi w:val="0"/>
        <w:adjustRightInd/>
        <w:snapToGrid w:val="0"/>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Cs/>
          <w:sz w:val="32"/>
          <w:szCs w:val="32"/>
          <w:lang w:val="zh-CN"/>
        </w:rPr>
        <w:fldChar w:fldCharType="begin"/>
      </w:r>
      <w:r>
        <w:rPr>
          <w:rFonts w:hint="default" w:ascii="Times New Roman" w:hAnsi="Times New Roman" w:eastAsia="仿宋_GB2312" w:cs="Times New Roman"/>
          <w:bCs/>
          <w:sz w:val="32"/>
          <w:szCs w:val="32"/>
          <w:lang w:val="zh-CN"/>
        </w:rPr>
        <w:instrText xml:space="preserve"> HYPERLINK \l _Toc8968 </w:instrText>
      </w:r>
      <w:r>
        <w:rPr>
          <w:rFonts w:hint="default" w:ascii="Times New Roman" w:hAnsi="Times New Roman" w:eastAsia="仿宋_GB2312" w:cs="Times New Roman"/>
          <w:bCs/>
          <w:sz w:val="32"/>
          <w:szCs w:val="32"/>
          <w:lang w:val="zh-CN"/>
        </w:rPr>
        <w:fldChar w:fldCharType="separate"/>
      </w:r>
      <w:r>
        <w:rPr>
          <w:rFonts w:hint="default" w:ascii="Times New Roman" w:hAnsi="Times New Roman" w:eastAsia="仿宋_GB2312" w:cs="Times New Roman"/>
          <w:sz w:val="32"/>
          <w:szCs w:val="32"/>
        </w:rPr>
        <w:t>3.2汇总表</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_Toc8968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14</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bCs/>
          <w:sz w:val="32"/>
          <w:szCs w:val="32"/>
          <w:lang w:val="zh-CN"/>
        </w:rPr>
        <w:fldChar w:fldCharType="end"/>
      </w:r>
    </w:p>
    <w:p w14:paraId="2113A736">
      <w:pPr>
        <w:pStyle w:val="9"/>
        <w:keepNext w:val="0"/>
        <w:keepLines w:val="0"/>
        <w:pageBreakBefore w:val="0"/>
        <w:widowControl w:val="0"/>
        <w:tabs>
          <w:tab w:val="right" w:leader="dot" w:pos="8306"/>
        </w:tabs>
        <w:kinsoku/>
        <w:wordWrap/>
        <w:overflowPunct/>
        <w:topLinePunct w:val="0"/>
        <w:autoSpaceDE/>
        <w:autoSpaceDN/>
        <w:bidi w:val="0"/>
        <w:adjustRightInd/>
        <w:snapToGrid w:val="0"/>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Cs/>
          <w:sz w:val="32"/>
          <w:szCs w:val="32"/>
          <w:lang w:val="zh-CN"/>
        </w:rPr>
        <w:fldChar w:fldCharType="begin"/>
      </w:r>
      <w:r>
        <w:rPr>
          <w:rFonts w:hint="default" w:ascii="Times New Roman" w:hAnsi="Times New Roman" w:eastAsia="仿宋_GB2312" w:cs="Times New Roman"/>
          <w:bCs/>
          <w:sz w:val="32"/>
          <w:szCs w:val="32"/>
          <w:lang w:val="zh-CN"/>
        </w:rPr>
        <w:instrText xml:space="preserve"> HYPERLINK \l _Toc12373 </w:instrText>
      </w:r>
      <w:r>
        <w:rPr>
          <w:rFonts w:hint="default" w:ascii="Times New Roman" w:hAnsi="Times New Roman" w:eastAsia="仿宋_GB2312" w:cs="Times New Roman"/>
          <w:bCs/>
          <w:sz w:val="32"/>
          <w:szCs w:val="32"/>
          <w:lang w:val="zh-CN"/>
        </w:rPr>
        <w:fldChar w:fldCharType="separate"/>
      </w:r>
      <w:r>
        <w:rPr>
          <w:rFonts w:hint="default" w:ascii="Times New Roman" w:hAnsi="Times New Roman" w:eastAsia="仿宋_GB2312" w:cs="Times New Roman"/>
          <w:sz w:val="32"/>
          <w:szCs w:val="32"/>
        </w:rPr>
        <w:t>4  活动数据及来源说明</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_Toc12373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15</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bCs/>
          <w:sz w:val="32"/>
          <w:szCs w:val="32"/>
          <w:lang w:val="zh-CN"/>
        </w:rPr>
        <w:fldChar w:fldCharType="end"/>
      </w:r>
    </w:p>
    <w:p w14:paraId="34B80B69">
      <w:pPr>
        <w:pStyle w:val="10"/>
        <w:keepNext w:val="0"/>
        <w:keepLines w:val="0"/>
        <w:pageBreakBefore w:val="0"/>
        <w:widowControl w:val="0"/>
        <w:tabs>
          <w:tab w:val="right" w:leader="dot" w:pos="8306"/>
        </w:tabs>
        <w:kinsoku/>
        <w:wordWrap/>
        <w:overflowPunct/>
        <w:topLinePunct w:val="0"/>
        <w:autoSpaceDE/>
        <w:autoSpaceDN/>
        <w:bidi w:val="0"/>
        <w:adjustRightInd/>
        <w:snapToGrid w:val="0"/>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Cs/>
          <w:sz w:val="32"/>
          <w:szCs w:val="32"/>
          <w:lang w:val="zh-CN"/>
        </w:rPr>
        <w:fldChar w:fldCharType="begin"/>
      </w:r>
      <w:r>
        <w:rPr>
          <w:rFonts w:hint="default" w:ascii="Times New Roman" w:hAnsi="Times New Roman" w:eastAsia="仿宋_GB2312" w:cs="Times New Roman"/>
          <w:bCs/>
          <w:sz w:val="32"/>
          <w:szCs w:val="32"/>
          <w:lang w:val="zh-CN"/>
        </w:rPr>
        <w:instrText xml:space="preserve"> HYPERLINK \l _Toc27056 </w:instrText>
      </w:r>
      <w:r>
        <w:rPr>
          <w:rFonts w:hint="default" w:ascii="Times New Roman" w:hAnsi="Times New Roman" w:eastAsia="仿宋_GB2312" w:cs="Times New Roman"/>
          <w:bCs/>
          <w:sz w:val="32"/>
          <w:szCs w:val="32"/>
          <w:lang w:val="zh-CN"/>
        </w:rPr>
        <w:fldChar w:fldCharType="separate"/>
      </w:r>
      <w:r>
        <w:rPr>
          <w:rFonts w:hint="default" w:ascii="Times New Roman" w:hAnsi="Times New Roman" w:eastAsia="仿宋_GB2312" w:cs="Times New Roman"/>
          <w:sz w:val="32"/>
          <w:szCs w:val="32"/>
        </w:rPr>
        <w:t>4.1 化石燃料活动水平数据及来源</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_Toc27056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15</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bCs/>
          <w:sz w:val="32"/>
          <w:szCs w:val="32"/>
          <w:lang w:val="zh-CN"/>
        </w:rPr>
        <w:fldChar w:fldCharType="end"/>
      </w:r>
    </w:p>
    <w:p w14:paraId="3CA603DA">
      <w:pPr>
        <w:pStyle w:val="10"/>
        <w:keepNext w:val="0"/>
        <w:keepLines w:val="0"/>
        <w:pageBreakBefore w:val="0"/>
        <w:widowControl w:val="0"/>
        <w:tabs>
          <w:tab w:val="right" w:leader="dot" w:pos="8306"/>
        </w:tabs>
        <w:kinsoku/>
        <w:wordWrap/>
        <w:overflowPunct/>
        <w:topLinePunct w:val="0"/>
        <w:autoSpaceDE/>
        <w:autoSpaceDN/>
        <w:bidi w:val="0"/>
        <w:adjustRightInd/>
        <w:snapToGrid w:val="0"/>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Cs/>
          <w:sz w:val="32"/>
          <w:szCs w:val="32"/>
          <w:lang w:val="zh-CN"/>
        </w:rPr>
        <w:fldChar w:fldCharType="begin"/>
      </w:r>
      <w:r>
        <w:rPr>
          <w:rFonts w:hint="default" w:ascii="Times New Roman" w:hAnsi="Times New Roman" w:eastAsia="仿宋_GB2312" w:cs="Times New Roman"/>
          <w:bCs/>
          <w:sz w:val="32"/>
          <w:szCs w:val="32"/>
          <w:lang w:val="zh-CN"/>
        </w:rPr>
        <w:instrText xml:space="preserve"> HYPERLINK \l _Toc9295 </w:instrText>
      </w:r>
      <w:r>
        <w:rPr>
          <w:rFonts w:hint="default" w:ascii="Times New Roman" w:hAnsi="Times New Roman" w:eastAsia="仿宋_GB2312" w:cs="Times New Roman"/>
          <w:bCs/>
          <w:sz w:val="32"/>
          <w:szCs w:val="32"/>
          <w:lang w:val="zh-CN"/>
        </w:rPr>
        <w:fldChar w:fldCharType="separate"/>
      </w:r>
      <w:r>
        <w:rPr>
          <w:rFonts w:hint="default" w:ascii="Times New Roman" w:hAnsi="Times New Roman" w:eastAsia="仿宋_GB2312" w:cs="Times New Roman"/>
          <w:sz w:val="32"/>
          <w:szCs w:val="32"/>
        </w:rPr>
        <w:t>4.</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 xml:space="preserve"> 净购入电力活动水平数据及来源</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_Toc9295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15</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bCs/>
          <w:sz w:val="32"/>
          <w:szCs w:val="32"/>
          <w:lang w:val="zh-CN"/>
        </w:rPr>
        <w:fldChar w:fldCharType="end"/>
      </w:r>
    </w:p>
    <w:p w14:paraId="45B132C1">
      <w:pPr>
        <w:pStyle w:val="9"/>
        <w:keepNext w:val="0"/>
        <w:keepLines w:val="0"/>
        <w:pageBreakBefore w:val="0"/>
        <w:widowControl w:val="0"/>
        <w:tabs>
          <w:tab w:val="right" w:leader="dot" w:pos="8306"/>
        </w:tabs>
        <w:kinsoku/>
        <w:wordWrap/>
        <w:overflowPunct/>
        <w:topLinePunct w:val="0"/>
        <w:autoSpaceDE/>
        <w:autoSpaceDN/>
        <w:bidi w:val="0"/>
        <w:adjustRightInd/>
        <w:snapToGrid w:val="0"/>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Cs/>
          <w:sz w:val="32"/>
          <w:szCs w:val="32"/>
          <w:lang w:val="zh-CN"/>
        </w:rPr>
        <w:fldChar w:fldCharType="begin"/>
      </w:r>
      <w:r>
        <w:rPr>
          <w:rFonts w:hint="default" w:ascii="Times New Roman" w:hAnsi="Times New Roman" w:eastAsia="仿宋_GB2312" w:cs="Times New Roman"/>
          <w:bCs/>
          <w:sz w:val="32"/>
          <w:szCs w:val="32"/>
          <w:lang w:val="zh-CN"/>
        </w:rPr>
        <w:instrText xml:space="preserve"> HYPERLINK \l _Toc24849 </w:instrText>
      </w:r>
      <w:r>
        <w:rPr>
          <w:rFonts w:hint="default" w:ascii="Times New Roman" w:hAnsi="Times New Roman" w:eastAsia="仿宋_GB2312" w:cs="Times New Roman"/>
          <w:bCs/>
          <w:sz w:val="32"/>
          <w:szCs w:val="32"/>
          <w:lang w:val="zh-CN"/>
        </w:rPr>
        <w:fldChar w:fldCharType="separate"/>
      </w:r>
      <w:r>
        <w:rPr>
          <w:rFonts w:hint="default" w:ascii="Times New Roman" w:hAnsi="Times New Roman" w:eastAsia="仿宋_GB2312" w:cs="Times New Roman"/>
          <w:sz w:val="32"/>
          <w:szCs w:val="32"/>
        </w:rPr>
        <w:t>5  排放因子数据及来源说明</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_Toc24849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16</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bCs/>
          <w:sz w:val="32"/>
          <w:szCs w:val="32"/>
          <w:lang w:val="zh-CN"/>
        </w:rPr>
        <w:fldChar w:fldCharType="end"/>
      </w:r>
    </w:p>
    <w:p w14:paraId="35A7C8DF">
      <w:pPr>
        <w:pStyle w:val="10"/>
        <w:keepNext w:val="0"/>
        <w:keepLines w:val="0"/>
        <w:pageBreakBefore w:val="0"/>
        <w:widowControl w:val="0"/>
        <w:tabs>
          <w:tab w:val="right" w:leader="dot" w:pos="8306"/>
        </w:tabs>
        <w:kinsoku/>
        <w:wordWrap/>
        <w:overflowPunct/>
        <w:topLinePunct w:val="0"/>
        <w:autoSpaceDE/>
        <w:autoSpaceDN/>
        <w:bidi w:val="0"/>
        <w:adjustRightInd/>
        <w:snapToGrid w:val="0"/>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Cs/>
          <w:sz w:val="32"/>
          <w:szCs w:val="32"/>
          <w:lang w:val="zh-CN"/>
        </w:rPr>
        <w:fldChar w:fldCharType="begin"/>
      </w:r>
      <w:r>
        <w:rPr>
          <w:rFonts w:hint="default" w:ascii="Times New Roman" w:hAnsi="Times New Roman" w:eastAsia="仿宋_GB2312" w:cs="Times New Roman"/>
          <w:bCs/>
          <w:sz w:val="32"/>
          <w:szCs w:val="32"/>
          <w:lang w:val="zh-CN"/>
        </w:rPr>
        <w:instrText xml:space="preserve"> HYPERLINK \l _Toc17117 </w:instrText>
      </w:r>
      <w:r>
        <w:rPr>
          <w:rFonts w:hint="default" w:ascii="Times New Roman" w:hAnsi="Times New Roman" w:eastAsia="仿宋_GB2312" w:cs="Times New Roman"/>
          <w:bCs/>
          <w:sz w:val="32"/>
          <w:szCs w:val="32"/>
          <w:lang w:val="zh-CN"/>
        </w:rPr>
        <w:fldChar w:fldCharType="separate"/>
      </w:r>
      <w:r>
        <w:rPr>
          <w:rFonts w:hint="default" w:ascii="Times New Roman" w:hAnsi="Times New Roman" w:eastAsia="仿宋_GB2312" w:cs="Times New Roman"/>
          <w:sz w:val="32"/>
          <w:szCs w:val="32"/>
        </w:rPr>
        <w:t>5.1 化石燃料排放因子数据及来源</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_Toc17117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16</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bCs/>
          <w:sz w:val="32"/>
          <w:szCs w:val="32"/>
          <w:lang w:val="zh-CN"/>
        </w:rPr>
        <w:fldChar w:fldCharType="end"/>
      </w:r>
    </w:p>
    <w:p w14:paraId="325EFAC0">
      <w:pPr>
        <w:pStyle w:val="10"/>
        <w:keepNext w:val="0"/>
        <w:keepLines w:val="0"/>
        <w:pageBreakBefore w:val="0"/>
        <w:widowControl w:val="0"/>
        <w:tabs>
          <w:tab w:val="right" w:leader="dot" w:pos="8306"/>
        </w:tabs>
        <w:kinsoku/>
        <w:wordWrap/>
        <w:overflowPunct/>
        <w:topLinePunct w:val="0"/>
        <w:autoSpaceDE/>
        <w:autoSpaceDN/>
        <w:bidi w:val="0"/>
        <w:adjustRightInd/>
        <w:snapToGrid w:val="0"/>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Cs/>
          <w:sz w:val="32"/>
          <w:szCs w:val="32"/>
          <w:lang w:val="zh-CN"/>
        </w:rPr>
        <w:fldChar w:fldCharType="begin"/>
      </w:r>
      <w:r>
        <w:rPr>
          <w:rFonts w:hint="default" w:ascii="Times New Roman" w:hAnsi="Times New Roman" w:eastAsia="仿宋_GB2312" w:cs="Times New Roman"/>
          <w:bCs/>
          <w:sz w:val="32"/>
          <w:szCs w:val="32"/>
          <w:lang w:val="zh-CN"/>
        </w:rPr>
        <w:instrText xml:space="preserve"> HYPERLINK \l _Toc31597 </w:instrText>
      </w:r>
      <w:r>
        <w:rPr>
          <w:rFonts w:hint="default" w:ascii="Times New Roman" w:hAnsi="Times New Roman" w:eastAsia="仿宋_GB2312" w:cs="Times New Roman"/>
          <w:bCs/>
          <w:sz w:val="32"/>
          <w:szCs w:val="32"/>
          <w:lang w:val="zh-CN"/>
        </w:rPr>
        <w:fldChar w:fldCharType="separate"/>
      </w:r>
      <w:r>
        <w:rPr>
          <w:rFonts w:hint="default" w:ascii="Times New Roman" w:hAnsi="Times New Roman" w:eastAsia="仿宋_GB2312" w:cs="Times New Roman"/>
          <w:sz w:val="32"/>
          <w:szCs w:val="32"/>
        </w:rPr>
        <w:t>5.2 净购入电力排放因子数据及来源</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_Toc31597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16</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bCs/>
          <w:sz w:val="32"/>
          <w:szCs w:val="32"/>
          <w:lang w:val="zh-CN"/>
        </w:rPr>
        <w:fldChar w:fldCharType="end"/>
      </w:r>
    </w:p>
    <w:p w14:paraId="38802D65">
      <w:pPr>
        <w:pStyle w:val="9"/>
        <w:keepNext w:val="0"/>
        <w:keepLines w:val="0"/>
        <w:pageBreakBefore w:val="0"/>
        <w:widowControl w:val="0"/>
        <w:tabs>
          <w:tab w:val="right" w:leader="dot" w:pos="8306"/>
        </w:tabs>
        <w:kinsoku/>
        <w:wordWrap/>
        <w:overflowPunct/>
        <w:topLinePunct w:val="0"/>
        <w:autoSpaceDE/>
        <w:autoSpaceDN/>
        <w:bidi w:val="0"/>
        <w:adjustRightInd/>
        <w:snapToGrid w:val="0"/>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Cs/>
          <w:sz w:val="32"/>
          <w:szCs w:val="32"/>
          <w:lang w:val="zh-CN"/>
        </w:rPr>
        <w:fldChar w:fldCharType="begin"/>
      </w:r>
      <w:r>
        <w:rPr>
          <w:rFonts w:hint="default" w:ascii="Times New Roman" w:hAnsi="Times New Roman" w:eastAsia="仿宋_GB2312" w:cs="Times New Roman"/>
          <w:bCs/>
          <w:sz w:val="32"/>
          <w:szCs w:val="32"/>
          <w:lang w:val="zh-CN"/>
        </w:rPr>
        <w:instrText xml:space="preserve"> HYPERLINK \l _Toc1361 </w:instrText>
      </w:r>
      <w:r>
        <w:rPr>
          <w:rFonts w:hint="default" w:ascii="Times New Roman" w:hAnsi="Times New Roman" w:eastAsia="仿宋_GB2312" w:cs="Times New Roman"/>
          <w:bCs/>
          <w:sz w:val="32"/>
          <w:szCs w:val="32"/>
          <w:lang w:val="zh-CN"/>
        </w:rPr>
        <w:fldChar w:fldCharType="separate"/>
      </w:r>
      <w:r>
        <w:rPr>
          <w:rFonts w:hint="default" w:ascii="Times New Roman" w:hAnsi="Times New Roman" w:eastAsia="仿宋_GB2312" w:cs="Times New Roman"/>
          <w:sz w:val="32"/>
          <w:szCs w:val="32"/>
        </w:rPr>
        <w:t>6真实性声明</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_Toc1361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17</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bCs/>
          <w:sz w:val="32"/>
          <w:szCs w:val="32"/>
          <w:lang w:val="zh-CN"/>
        </w:rPr>
        <w:fldChar w:fldCharType="end"/>
      </w:r>
    </w:p>
    <w:p w14:paraId="4A2485CC">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default" w:ascii="Times New Roman" w:hAnsi="Times New Roman" w:eastAsia="宋体" w:cs="Times New Roman"/>
          <w:sz w:val="24"/>
          <w:szCs w:val="24"/>
        </w:rPr>
      </w:pPr>
      <w:r>
        <w:rPr>
          <w:rFonts w:hint="default" w:ascii="Times New Roman" w:hAnsi="Times New Roman" w:eastAsia="仿宋_GB2312" w:cs="Times New Roman"/>
          <w:bCs/>
          <w:sz w:val="32"/>
          <w:szCs w:val="32"/>
          <w:lang w:val="zh-CN"/>
        </w:rPr>
        <w:fldChar w:fldCharType="end"/>
      </w:r>
    </w:p>
    <w:p w14:paraId="5A12EF25">
      <w:pPr>
        <w:spacing w:line="360" w:lineRule="auto"/>
        <w:ind w:firstLine="480" w:firstLineChars="200"/>
        <w:jc w:val="left"/>
        <w:rPr>
          <w:rFonts w:hint="default" w:ascii="Times New Roman" w:hAnsi="Times New Roman" w:eastAsia="宋体" w:cs="Times New Roman"/>
          <w:sz w:val="24"/>
          <w:szCs w:val="24"/>
        </w:rPr>
        <w:sectPr>
          <w:headerReference r:id="rId6"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39CD6D47">
      <w:pPr>
        <w:pStyle w:val="4"/>
        <w:bidi w:val="0"/>
        <w:rPr>
          <w:rFonts w:hint="default"/>
          <w:lang w:val="zh-CN"/>
        </w:rPr>
      </w:pPr>
      <w:bookmarkStart w:id="0" w:name="_Toc20206"/>
      <w:r>
        <w:rPr>
          <w:rFonts w:hint="default"/>
          <w:lang w:val="zh-CN"/>
        </w:rPr>
        <w:t>1  编制依据</w:t>
      </w:r>
      <w:bookmarkEnd w:id="0"/>
    </w:p>
    <w:p w14:paraId="6FD8A23A">
      <w:pPr>
        <w:spacing w:line="360" w:lineRule="auto"/>
        <w:ind w:firstLine="641"/>
        <w:rPr>
          <w:rFonts w:hint="default" w:ascii="Times New Roman" w:hAnsi="Times New Roman" w:eastAsia="仿宋_GB2312" w:cs="Times New Roman"/>
          <w:sz w:val="32"/>
          <w:szCs w:val="24"/>
          <w:lang w:eastAsia="zh-CN"/>
        </w:rPr>
      </w:pPr>
      <w:r>
        <w:rPr>
          <w:rFonts w:hint="default" w:ascii="Times New Roman" w:hAnsi="Times New Roman" w:eastAsia="仿宋_GB2312" w:cs="Times New Roman"/>
          <w:sz w:val="32"/>
          <w:szCs w:val="24"/>
        </w:rPr>
        <w:t>根据</w:t>
      </w:r>
      <w:r>
        <w:rPr>
          <w:rFonts w:hint="default" w:ascii="Times New Roman" w:hAnsi="Times New Roman" w:eastAsia="仿宋_GB2312" w:cs="Times New Roman"/>
          <w:sz w:val="32"/>
          <w:szCs w:val="24"/>
          <w:lang w:val="en-US" w:eastAsia="zh-CN"/>
        </w:rPr>
        <w:t>马鞍山</w:t>
      </w:r>
      <w:r>
        <w:rPr>
          <w:rFonts w:hint="default" w:ascii="Times New Roman" w:hAnsi="Times New Roman" w:eastAsia="仿宋_GB2312" w:cs="Times New Roman"/>
          <w:sz w:val="32"/>
          <w:szCs w:val="24"/>
        </w:rPr>
        <w:t>市生态环境局《关于进一步做好2020年度市级温室气体重点排放单位碳排放报告工作的通知》、《碳排放权交易管理办法》（试行）等文件，遵照《工业企业温室气体排放核算和报告通则》（GB/T 32150-2015）、《工业其他行业企业温室气体排放核算方法与报告指南（试行）》（发改办气候〔2015〕1722号），</w:t>
      </w:r>
      <w:r>
        <w:rPr>
          <w:rFonts w:hint="eastAsia" w:ascii="Times New Roman" w:hAnsi="Times New Roman" w:eastAsia="仿宋_GB2312" w:cs="Times New Roman"/>
          <w:sz w:val="32"/>
          <w:szCs w:val="24"/>
          <w:lang w:eastAsia="zh-CN"/>
        </w:rPr>
        <w:t>安徽汉马发动机</w:t>
      </w:r>
      <w:r>
        <w:rPr>
          <w:rFonts w:hint="default" w:ascii="Times New Roman" w:hAnsi="Times New Roman" w:eastAsia="仿宋_GB2312" w:cs="Times New Roman"/>
          <w:sz w:val="32"/>
          <w:szCs w:val="24"/>
          <w:lang w:eastAsia="zh-CN"/>
        </w:rPr>
        <w:t>有限公司</w:t>
      </w:r>
      <w:r>
        <w:rPr>
          <w:rFonts w:hint="default" w:ascii="Times New Roman" w:hAnsi="Times New Roman" w:eastAsia="仿宋_GB2312" w:cs="Times New Roman"/>
          <w:sz w:val="32"/>
          <w:szCs w:val="24"/>
        </w:rPr>
        <w:t>核算了202</w:t>
      </w:r>
      <w:r>
        <w:rPr>
          <w:rFonts w:hint="eastAsia" w:ascii="Times New Roman" w:hAnsi="Times New Roman" w:eastAsia="仿宋_GB2312" w:cs="Times New Roman"/>
          <w:sz w:val="32"/>
          <w:szCs w:val="24"/>
          <w:lang w:val="en-US" w:eastAsia="zh-CN"/>
        </w:rPr>
        <w:t>4</w:t>
      </w:r>
      <w:r>
        <w:rPr>
          <w:rFonts w:hint="default" w:ascii="Times New Roman" w:hAnsi="Times New Roman" w:eastAsia="仿宋_GB2312" w:cs="Times New Roman"/>
          <w:sz w:val="32"/>
          <w:szCs w:val="24"/>
        </w:rPr>
        <w:t>年度温室气体排放量</w:t>
      </w:r>
      <w:r>
        <w:rPr>
          <w:rFonts w:hint="default" w:ascii="Times New Roman" w:hAnsi="Times New Roman" w:eastAsia="仿宋_GB2312" w:cs="Times New Roman"/>
          <w:sz w:val="32"/>
          <w:szCs w:val="24"/>
          <w:lang w:eastAsia="zh-CN"/>
        </w:rPr>
        <w:t>。</w:t>
      </w:r>
    </w:p>
    <w:p w14:paraId="7BCD9792">
      <w:pPr>
        <w:spacing w:line="360" w:lineRule="auto"/>
        <w:ind w:firstLine="641"/>
        <w:rPr>
          <w:rFonts w:hint="default" w:ascii="Times New Roman" w:hAnsi="Times New Roman" w:eastAsia="宋体" w:cs="Times New Roman"/>
          <w:sz w:val="24"/>
          <w:szCs w:val="24"/>
        </w:rPr>
      </w:pPr>
    </w:p>
    <w:p w14:paraId="7D25D1D5">
      <w:pPr>
        <w:spacing w:line="360" w:lineRule="auto"/>
        <w:ind w:firstLine="641"/>
        <w:rPr>
          <w:rFonts w:hint="default" w:ascii="Times New Roman" w:hAnsi="Times New Roman" w:eastAsia="宋体" w:cs="Times New Roman"/>
          <w:sz w:val="24"/>
          <w:szCs w:val="24"/>
        </w:rPr>
        <w:sectPr>
          <w:headerReference r:id="rId7" w:type="default"/>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start="1"/>
          <w:cols w:space="720" w:num="1"/>
          <w:docGrid w:type="lines" w:linePitch="312" w:charSpace="0"/>
        </w:sectPr>
      </w:pPr>
    </w:p>
    <w:p w14:paraId="3D72B084">
      <w:pPr>
        <w:pStyle w:val="4"/>
        <w:bidi w:val="0"/>
        <w:rPr>
          <w:rFonts w:hint="default"/>
          <w:lang w:val="zh-CN"/>
        </w:rPr>
      </w:pPr>
      <w:bookmarkStart w:id="1" w:name="_Toc707"/>
      <w:r>
        <w:rPr>
          <w:rFonts w:hint="default"/>
          <w:lang w:val="zh-CN"/>
        </w:rPr>
        <w:t>2  企业基本情况</w:t>
      </w:r>
      <w:bookmarkEnd w:id="1"/>
    </w:p>
    <w:p w14:paraId="25BDD858">
      <w:pPr>
        <w:pStyle w:val="5"/>
        <w:bidi w:val="0"/>
        <w:rPr>
          <w:rFonts w:hint="default"/>
          <w:lang w:val="zh-CN"/>
        </w:rPr>
      </w:pPr>
      <w:bookmarkStart w:id="2" w:name="_Toc23950"/>
      <w:r>
        <w:rPr>
          <w:rFonts w:hint="default"/>
          <w:lang w:val="zh-CN"/>
        </w:rPr>
        <w:t>2.1  基本信息一览</w:t>
      </w:r>
      <w:bookmarkEnd w:id="2"/>
    </w:p>
    <w:p w14:paraId="2E2F4573">
      <w:pPr>
        <w:bidi w:val="0"/>
        <w:rPr>
          <w:rFonts w:hint="default"/>
          <w:lang w:val="en-US" w:eastAsia="zh-CN"/>
        </w:rPr>
      </w:pPr>
      <w:r>
        <w:rPr>
          <w:rFonts w:hint="eastAsia"/>
          <w:lang w:val="en-US" w:eastAsia="zh-CN"/>
        </w:rPr>
        <w:t>安徽汉马发动机有限公司，于2</w:t>
      </w:r>
      <w:r>
        <w:rPr>
          <w:rFonts w:hint="default"/>
          <w:lang w:val="en-US" w:eastAsia="zh-CN"/>
        </w:rPr>
        <w:t>023</w:t>
      </w:r>
      <w:r>
        <w:rPr>
          <w:rFonts w:hint="eastAsia"/>
          <w:lang w:val="en-US" w:eastAsia="zh-CN"/>
        </w:rPr>
        <w:t>年9月2</w:t>
      </w:r>
      <w:r>
        <w:rPr>
          <w:rFonts w:hint="default"/>
          <w:lang w:val="en-US" w:eastAsia="zh-CN"/>
        </w:rPr>
        <w:t>2</w:t>
      </w:r>
      <w:r>
        <w:rPr>
          <w:rFonts w:hint="eastAsia"/>
          <w:lang w:val="en-US" w:eastAsia="zh-CN"/>
        </w:rPr>
        <w:t>日注册成立，注册资本4</w:t>
      </w:r>
      <w:r>
        <w:rPr>
          <w:rFonts w:hint="default"/>
          <w:lang w:val="en-US" w:eastAsia="zh-CN"/>
        </w:rPr>
        <w:t>600</w:t>
      </w:r>
      <w:r>
        <w:rPr>
          <w:rFonts w:hint="eastAsia"/>
          <w:lang w:val="en-US" w:eastAsia="zh-CN"/>
        </w:rPr>
        <w:t>万元，公司位于安徽省马鞍山市经济技术开发区，其前身是安徽华菱汽车有限公司发动机分公司，于2013年1月17日注册成立，是国内重要的发动机生产研发基地，国家级“制造业与互联网融合发展工业大数据服务平台试点示范企业”，国家级“智能工厂新模式应用企业”，是国家倡导发展自主品牌、坚持自主创新的典范。</w:t>
      </w:r>
    </w:p>
    <w:p w14:paraId="668815C1">
      <w:pPr>
        <w:bidi w:val="0"/>
        <w:rPr>
          <w:rFonts w:hint="default"/>
          <w:lang w:val="en-US" w:eastAsia="zh-CN"/>
        </w:rPr>
      </w:pPr>
      <w:r>
        <w:rPr>
          <w:rFonts w:hint="default"/>
          <w:lang w:val="en-US" w:eastAsia="zh-CN"/>
        </w:rPr>
        <w:t>公司投资建成了具有国际先进水平的发动机自动化生产基地</w:t>
      </w:r>
      <w:r>
        <w:rPr>
          <w:rFonts w:hint="eastAsia"/>
          <w:lang w:val="en-US" w:eastAsia="zh-CN"/>
        </w:rPr>
        <w:t>，</w:t>
      </w:r>
      <w:r>
        <w:rPr>
          <w:rFonts w:hint="default"/>
          <w:lang w:val="en-US" w:eastAsia="zh-CN"/>
        </w:rPr>
        <w:t>设计产能为5万台</w:t>
      </w:r>
      <w:r>
        <w:rPr>
          <w:rFonts w:hint="eastAsia"/>
          <w:lang w:val="en-US" w:eastAsia="zh-CN"/>
        </w:rPr>
        <w:t>/</w:t>
      </w:r>
      <w:r>
        <w:rPr>
          <w:rFonts w:hint="default"/>
          <w:lang w:val="en-US" w:eastAsia="zh-CN"/>
        </w:rPr>
        <w:t>年</w:t>
      </w:r>
      <w:r>
        <w:rPr>
          <w:rFonts w:hint="eastAsia"/>
          <w:lang w:val="en-US" w:eastAsia="zh-CN"/>
        </w:rPr>
        <w:t>。公司拥有</w:t>
      </w:r>
      <w:r>
        <w:rPr>
          <w:rFonts w:hint="default"/>
          <w:lang w:val="en-US" w:eastAsia="zh-CN"/>
        </w:rPr>
        <w:t>机加、</w:t>
      </w:r>
      <w:r>
        <w:rPr>
          <w:rFonts w:hint="eastAsia"/>
          <w:lang w:val="en-US" w:eastAsia="zh-CN"/>
        </w:rPr>
        <w:t>装配、试车三大生产</w:t>
      </w:r>
      <w:r>
        <w:rPr>
          <w:rFonts w:hint="default"/>
          <w:lang w:val="en-US" w:eastAsia="zh-CN"/>
        </w:rPr>
        <w:t>车间</w:t>
      </w:r>
      <w:r>
        <w:rPr>
          <w:rFonts w:hint="eastAsia"/>
          <w:lang w:val="en-US" w:eastAsia="zh-CN"/>
        </w:rPr>
        <w:t>，配置了国际、国内顶级加工、装配、检测、试验、喷涂设备。</w:t>
      </w:r>
      <w:r>
        <w:rPr>
          <w:rFonts w:hint="default"/>
          <w:lang w:val="en-US" w:eastAsia="zh-CN"/>
        </w:rPr>
        <w:t>建成了ERP、DCS、ANDON、PMC、DMC等5大信息管理系统，所有零部件按照二维码扫描比对匹配的原则上线装配，保证生产的一致性和零部件质量的可追溯性，全线所有设备运行状态通过PMC系统监控，产品质量信息自动收集上传</w:t>
      </w:r>
      <w:r>
        <w:rPr>
          <w:rFonts w:hint="eastAsia"/>
          <w:lang w:val="en-US" w:eastAsia="zh-CN"/>
        </w:rPr>
        <w:t>。公司践行绿色制造理念、运用先进的网络信息技术，构建了发动机工厂工业互联网系统，实现了发动机产品全流程自动化、柔性化、信息化和智能化制造。</w:t>
      </w:r>
    </w:p>
    <w:p w14:paraId="0DB78A2C">
      <w:pPr>
        <w:bidi w:val="0"/>
        <w:rPr>
          <w:rFonts w:hint="default"/>
          <w:lang w:val="en-US" w:eastAsia="zh-CN"/>
        </w:rPr>
      </w:pPr>
      <w:r>
        <w:rPr>
          <w:rFonts w:hint="default"/>
          <w:lang w:val="en-US" w:eastAsia="zh-CN"/>
        </w:rPr>
        <w:t>公司主导产品为新一代节能</w:t>
      </w:r>
      <w:r>
        <w:rPr>
          <w:rFonts w:hint="eastAsia"/>
          <w:lang w:val="en-US" w:eastAsia="zh-CN"/>
        </w:rPr>
        <w:t>、</w:t>
      </w:r>
      <w:r>
        <w:rPr>
          <w:rFonts w:hint="default"/>
          <w:lang w:val="en-US" w:eastAsia="zh-CN"/>
        </w:rPr>
        <w:t>环保</w:t>
      </w:r>
      <w:r>
        <w:rPr>
          <w:rFonts w:hint="eastAsia"/>
          <w:lang w:val="en-US" w:eastAsia="zh-CN"/>
        </w:rPr>
        <w:t>、</w:t>
      </w:r>
      <w:r>
        <w:rPr>
          <w:rFonts w:hint="default"/>
          <w:lang w:val="en-US" w:eastAsia="zh-CN"/>
        </w:rPr>
        <w:t>大功率发动机，</w:t>
      </w:r>
      <w:bookmarkStart w:id="3" w:name="OLE_LINK1"/>
      <w:bookmarkStart w:id="4" w:name="OLE_LINK2"/>
      <w:bookmarkStart w:id="5" w:name="OLE_LINK3"/>
      <w:r>
        <w:rPr>
          <w:rFonts w:hint="default"/>
          <w:lang w:val="en-US" w:eastAsia="zh-CN"/>
        </w:rPr>
        <w:t>主要产品包括6升、9升、11升、13升四个平台系列发动机，燃料包括柴油、天然气及甲醇等，功率范围覆盖199kW-522kW。</w:t>
      </w:r>
      <w:bookmarkEnd w:id="3"/>
      <w:bookmarkEnd w:id="4"/>
      <w:bookmarkEnd w:id="5"/>
      <w:r>
        <w:rPr>
          <w:rFonts w:hint="eastAsia"/>
          <w:lang w:val="en-US" w:eastAsia="zh-CN"/>
        </w:rPr>
        <w:t>公司拳头产品甲醇系列发动机拥有燃油经济性技术、高效燃烧技术、高可靠性技术、电气化技术、增程/混动多种动力技术5大技术保障，能满足用户低碳化、高性能、高出勤、低成本需求。</w:t>
      </w:r>
      <w:r>
        <w:rPr>
          <w:rFonts w:hint="default"/>
          <w:lang w:val="en-US" w:eastAsia="zh-CN"/>
        </w:rPr>
        <w:t>适用于物流运输车辆、工程运输车辆、特种车辆</w:t>
      </w:r>
      <w:r>
        <w:rPr>
          <w:rFonts w:hint="eastAsia"/>
          <w:lang w:val="en-US" w:eastAsia="zh-CN"/>
        </w:rPr>
        <w:t>、</w:t>
      </w:r>
      <w:r>
        <w:rPr>
          <w:rFonts w:hint="default"/>
          <w:lang w:val="en-US" w:eastAsia="zh-CN"/>
        </w:rPr>
        <w:t>长途客车、工程机械</w:t>
      </w:r>
      <w:r>
        <w:rPr>
          <w:rFonts w:hint="eastAsia"/>
          <w:lang w:val="en-US" w:eastAsia="zh-CN"/>
        </w:rPr>
        <w:t>、</w:t>
      </w:r>
      <w:r>
        <w:rPr>
          <w:rFonts w:hint="default"/>
          <w:lang w:val="en-US" w:eastAsia="zh-CN"/>
        </w:rPr>
        <w:t>船用发动机和发电机组等。</w:t>
      </w:r>
    </w:p>
    <w:p w14:paraId="553C7387">
      <w:pPr>
        <w:bidi w:val="0"/>
        <w:rPr>
          <w:rFonts w:hint="default"/>
          <w:lang w:val="en-US" w:eastAsia="zh-CN"/>
        </w:rPr>
      </w:pPr>
      <w:r>
        <w:rPr>
          <w:rFonts w:hint="eastAsia"/>
          <w:lang w:val="en-US" w:eastAsia="zh-CN"/>
        </w:rPr>
        <w:t>公司先后完成IATF 16949质量管理体系、GB/T 24001-2016/ISO 14001:2015环境管理体系认证、OHSAS 18001/2007 GB/T28001-2011职业健康管理体系认证、ISO 50001:2011 GB/T 23331-2012能源管理体系认证。获得“中国机械工业名牌产品、金牌发动机奖、国六第一动力”等荣誉。</w:t>
      </w:r>
    </w:p>
    <w:p w14:paraId="3BD6BF0D">
      <w:pPr>
        <w:bidi w:val="0"/>
        <w:rPr>
          <w:rFonts w:hint="default"/>
          <w:lang w:eastAsia="zh-CN"/>
        </w:rPr>
      </w:pPr>
      <w:r>
        <w:rPr>
          <w:rFonts w:hint="eastAsia"/>
          <w:lang w:val="en-US" w:eastAsia="zh-CN"/>
        </w:rPr>
        <w:t>“远程动力”于2013年正式投放市场，以其节能、环保、安全、可靠显著优势深受用户欢迎，并搭载华菱汽车出口到东南亚、南美、中东、非洲等地的30多个国家和地区，至今产销累计突破</w:t>
      </w:r>
      <w:r>
        <w:rPr>
          <w:rFonts w:hint="default"/>
          <w:lang w:val="en-US" w:eastAsia="zh-CN"/>
        </w:rPr>
        <w:t>10</w:t>
      </w:r>
      <w:r>
        <w:rPr>
          <w:rFonts w:hint="eastAsia"/>
          <w:lang w:val="en-US" w:eastAsia="zh-CN"/>
        </w:rPr>
        <w:t>万台，在道路发动机和非道路发动机两个领域齐头并进，跻身国内主流发动机品牌行列。</w:t>
      </w:r>
    </w:p>
    <w:p w14:paraId="62B7ED8B">
      <w:pPr>
        <w:bidi w:val="0"/>
        <w:rPr>
          <w:rFonts w:hint="default"/>
          <w:lang w:eastAsia="zh-CN"/>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476AED20">
      <w:pPr>
        <w:pStyle w:val="5"/>
        <w:bidi w:val="0"/>
        <w:rPr>
          <w:rFonts w:hint="default"/>
        </w:rPr>
      </w:pPr>
      <w:bookmarkStart w:id="6" w:name="_Toc16061"/>
      <w:r>
        <w:rPr>
          <w:rFonts w:hint="default"/>
        </w:rPr>
        <w:t>2.2  组织机构描述</w:t>
      </w:r>
      <w:bookmarkEnd w:id="6"/>
    </w:p>
    <w:p w14:paraId="6E1EC2F5">
      <w:pPr>
        <w:bidi w:val="0"/>
        <w:rPr>
          <w:rFonts w:hint="default"/>
        </w:rPr>
      </w:pPr>
      <w:r>
        <w:rPr>
          <w:rFonts w:hint="default"/>
        </w:rPr>
        <w:t>公司组织机构如图2-</w:t>
      </w:r>
      <w:r>
        <w:rPr>
          <w:rFonts w:hint="default"/>
          <w:lang w:val="en-US" w:eastAsia="zh-CN"/>
        </w:rPr>
        <w:t>1</w:t>
      </w:r>
      <w:r>
        <w:rPr>
          <w:rFonts w:hint="default"/>
        </w:rPr>
        <w:t>所示。</w:t>
      </w:r>
    </w:p>
    <w:p w14:paraId="02F88323">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方正仿宋_GBK" w:cs="Times New Roman"/>
          <w:kern w:val="0"/>
          <w:szCs w:val="21"/>
          <w:lang w:eastAsia="zh-CN"/>
        </w:rPr>
      </w:pPr>
      <w:r>
        <w:rPr>
          <w:rFonts w:hAnsi="仿宋" w:cs="Times New Roman"/>
          <w:kern w:val="2"/>
          <w:sz w:val="28"/>
          <w:szCs w:val="28"/>
        </w:rPr>
        <w:drawing>
          <wp:inline distT="0" distB="0" distL="0" distR="0">
            <wp:extent cx="7041515" cy="3669030"/>
            <wp:effectExtent l="0" t="0" r="6985" b="7620"/>
            <wp:docPr id="26" name="图片 26" descr="企业微信截图_17267081991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企业微信截图_17267081991485"/>
                    <pic:cNvPicPr>
                      <a:picLocks noChangeAspect="1" noChangeArrowheads="1"/>
                    </pic:cNvPicPr>
                  </pic:nvPicPr>
                  <pic:blipFill>
                    <a:blip r:embed="rId11" cstate="print">
                      <a:extLst>
                        <a:ext uri="{28A0092B-C50C-407E-A947-70E740481C1C}">
                          <a14:useLocalDpi xmlns:a14="http://schemas.microsoft.com/office/drawing/2010/main" val="0"/>
                        </a:ext>
                      </a:extLst>
                    </a:blip>
                    <a:srcRect l="3252" r="3267" b="1077"/>
                    <a:stretch>
                      <a:fillRect/>
                    </a:stretch>
                  </pic:blipFill>
                  <pic:spPr>
                    <a:xfrm>
                      <a:off x="0" y="0"/>
                      <a:ext cx="7041515" cy="3669030"/>
                    </a:xfrm>
                    <a:prstGeom prst="rect">
                      <a:avLst/>
                    </a:prstGeom>
                    <a:noFill/>
                    <a:ln>
                      <a:noFill/>
                    </a:ln>
                  </pic:spPr>
                </pic:pic>
              </a:graphicData>
            </a:graphic>
          </wp:inline>
        </w:drawing>
      </w:r>
    </w:p>
    <w:p w14:paraId="2D2C8059">
      <w:pPr>
        <w:pStyle w:val="26"/>
        <w:bidi w:val="0"/>
        <w:rPr>
          <w:rFonts w:hint="default"/>
          <w:lang w:val="en-US" w:eastAsia="zh-CN"/>
        </w:rPr>
      </w:pPr>
      <w:r>
        <w:rPr>
          <w:rFonts w:hint="default"/>
          <w:lang w:val="en-US" w:eastAsia="zh-CN"/>
        </w:rPr>
        <w:t>图2-1  公司组织机构图</w:t>
      </w:r>
    </w:p>
    <w:p w14:paraId="154DB529">
      <w:pPr>
        <w:spacing w:line="360" w:lineRule="auto"/>
        <w:ind w:firstLine="480" w:firstLineChars="200"/>
        <w:rPr>
          <w:rFonts w:hint="default" w:ascii="Times New Roman" w:hAnsi="Times New Roman" w:eastAsia="宋体" w:cs="Times New Roman"/>
          <w:color w:val="000000"/>
          <w:sz w:val="24"/>
          <w:szCs w:val="24"/>
          <w:lang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720" w:num="1"/>
          <w:docGrid w:type="lines" w:linePitch="312" w:charSpace="0"/>
        </w:sectPr>
      </w:pPr>
    </w:p>
    <w:p w14:paraId="2E967573">
      <w:pPr>
        <w:bidi w:val="0"/>
        <w:rPr>
          <w:rFonts w:hint="default"/>
        </w:rPr>
      </w:pPr>
      <w:r>
        <w:rPr>
          <w:rFonts w:hint="eastAsia"/>
          <w:lang w:eastAsia="zh-CN"/>
        </w:rPr>
        <w:t>安徽汉马发动机</w:t>
      </w:r>
      <w:r>
        <w:rPr>
          <w:rFonts w:hint="default"/>
          <w:lang w:eastAsia="zh-CN"/>
        </w:rPr>
        <w:t>有限公司的</w:t>
      </w:r>
      <w:r>
        <w:rPr>
          <w:rFonts w:hint="default"/>
        </w:rPr>
        <w:t>三级管理体系健全，总经理对公司的重大决策作决定，主要部门设有</w:t>
      </w:r>
      <w:r>
        <w:rPr>
          <w:rFonts w:hint="eastAsia" w:cs="Times New Roman"/>
          <w:highlight w:val="none"/>
          <w:lang w:val="en-US" w:eastAsia="zh-CN"/>
        </w:rPr>
        <w:t>工艺部</w:t>
      </w:r>
      <w:r>
        <w:rPr>
          <w:rFonts w:hint="default" w:ascii="Times New Roman" w:hAnsi="Times New Roman" w:eastAsia="仿宋_GB2312" w:cs="Times New Roman"/>
          <w:highlight w:val="none"/>
          <w:lang w:val="en-US" w:eastAsia="zh-CN"/>
        </w:rPr>
        <w:t>、</w:t>
      </w:r>
      <w:r>
        <w:rPr>
          <w:rFonts w:hint="eastAsia" w:cs="Times New Roman"/>
          <w:highlight w:val="none"/>
          <w:lang w:val="en-US" w:eastAsia="zh-CN"/>
        </w:rPr>
        <w:t>制造部</w:t>
      </w:r>
      <w:r>
        <w:rPr>
          <w:rFonts w:hint="default" w:ascii="Times New Roman" w:hAnsi="Times New Roman" w:eastAsia="仿宋_GB2312" w:cs="Times New Roman"/>
          <w:highlight w:val="none"/>
          <w:lang w:val="en-US" w:eastAsia="zh-CN"/>
        </w:rPr>
        <w:t>，</w:t>
      </w:r>
      <w:r>
        <w:rPr>
          <w:rFonts w:hint="eastAsia" w:cs="Times New Roman"/>
          <w:highlight w:val="none"/>
          <w:lang w:val="en-US" w:eastAsia="zh-CN"/>
        </w:rPr>
        <w:t>质量部</w:t>
      </w:r>
      <w:r>
        <w:rPr>
          <w:rFonts w:hint="default" w:ascii="Times New Roman" w:hAnsi="Times New Roman" w:eastAsia="仿宋_GB2312" w:cs="Times New Roman"/>
          <w:highlight w:val="none"/>
          <w:lang w:val="en-US" w:eastAsia="zh-CN"/>
        </w:rPr>
        <w:t>，</w:t>
      </w:r>
      <w:r>
        <w:rPr>
          <w:rFonts w:hint="eastAsia" w:cs="Times New Roman"/>
          <w:highlight w:val="none"/>
          <w:lang w:val="en-US" w:eastAsia="zh-CN"/>
        </w:rPr>
        <w:t>采购分部</w:t>
      </w:r>
      <w:r>
        <w:rPr>
          <w:rFonts w:hint="default" w:ascii="Times New Roman" w:hAnsi="Times New Roman" w:eastAsia="仿宋_GB2312" w:cs="Times New Roman"/>
          <w:highlight w:val="none"/>
          <w:lang w:val="en-US" w:eastAsia="zh-CN"/>
        </w:rPr>
        <w:t>，</w:t>
      </w:r>
      <w:r>
        <w:rPr>
          <w:rFonts w:hint="eastAsia" w:cs="Times New Roman"/>
          <w:highlight w:val="none"/>
          <w:lang w:val="en-US" w:eastAsia="zh-CN"/>
        </w:rPr>
        <w:t>动力销售中心</w:t>
      </w:r>
      <w:r>
        <w:rPr>
          <w:rFonts w:hint="default" w:ascii="Times New Roman" w:hAnsi="Times New Roman" w:eastAsia="仿宋_GB2312" w:cs="Times New Roman"/>
          <w:highlight w:val="none"/>
          <w:lang w:val="en-US" w:eastAsia="zh-CN"/>
        </w:rPr>
        <w:t>，</w:t>
      </w:r>
      <w:r>
        <w:rPr>
          <w:rFonts w:hint="eastAsia" w:cs="Times New Roman"/>
          <w:highlight w:val="none"/>
          <w:lang w:val="en-US" w:eastAsia="zh-CN"/>
        </w:rPr>
        <w:t>综合管理部</w:t>
      </w:r>
      <w:r>
        <w:rPr>
          <w:rFonts w:hint="default" w:ascii="Times New Roman" w:hAnsi="Times New Roman" w:eastAsia="仿宋_GB2312" w:cs="Times New Roman"/>
          <w:highlight w:val="none"/>
          <w:lang w:val="en-US" w:eastAsia="zh-CN"/>
        </w:rPr>
        <w:t>，</w:t>
      </w:r>
      <w:r>
        <w:rPr>
          <w:rFonts w:hint="eastAsia" w:cs="Times New Roman"/>
          <w:highlight w:val="none"/>
          <w:lang w:val="en-US" w:eastAsia="zh-CN"/>
        </w:rPr>
        <w:t>财务部</w:t>
      </w:r>
      <w:r>
        <w:rPr>
          <w:rFonts w:hint="default" w:ascii="Times New Roman" w:hAnsi="Times New Roman" w:eastAsia="仿宋_GB2312" w:cs="Times New Roman"/>
          <w:highlight w:val="none"/>
          <w:lang w:val="en-US" w:eastAsia="zh-CN"/>
        </w:rPr>
        <w:t>等部门</w:t>
      </w:r>
      <w:r>
        <w:rPr>
          <w:rFonts w:hint="default"/>
        </w:rPr>
        <w:t>。</w:t>
      </w:r>
    </w:p>
    <w:p w14:paraId="1891545D">
      <w:pPr>
        <w:bidi w:val="0"/>
        <w:rPr>
          <w:rFonts w:hint="default"/>
        </w:rPr>
      </w:pPr>
      <w:r>
        <w:rPr>
          <w:rFonts w:hint="default"/>
        </w:rPr>
        <w:t>公司组织管理原则如下：</w:t>
      </w:r>
    </w:p>
    <w:p w14:paraId="2C9D5576">
      <w:pPr>
        <w:bidi w:val="0"/>
        <w:rPr>
          <w:rFonts w:hint="default"/>
        </w:rPr>
      </w:pPr>
      <w:r>
        <w:rPr>
          <w:rFonts w:hint="default"/>
        </w:rPr>
        <w:t>1、集权与分权相结合原则：统一领导、分级管理；</w:t>
      </w:r>
    </w:p>
    <w:p w14:paraId="1BE2DD54">
      <w:pPr>
        <w:bidi w:val="0"/>
        <w:rPr>
          <w:rFonts w:hint="default"/>
        </w:rPr>
      </w:pPr>
      <w:r>
        <w:rPr>
          <w:rFonts w:hint="default"/>
        </w:rPr>
        <w:t>2、命令指挥统一原则：下级组织只接受一个上级组织的命令和指挥，个人只对一个上级汇报工作的原则；</w:t>
      </w:r>
    </w:p>
    <w:p w14:paraId="082F00C3">
      <w:pPr>
        <w:bidi w:val="0"/>
        <w:rPr>
          <w:rFonts w:hint="default"/>
        </w:rPr>
      </w:pPr>
      <w:r>
        <w:rPr>
          <w:rFonts w:hint="default"/>
        </w:rPr>
        <w:t>3、责权利相对应原则：责任明确、权利适当、利益合理；</w:t>
      </w:r>
    </w:p>
    <w:p w14:paraId="4DA2843A">
      <w:pPr>
        <w:bidi w:val="0"/>
        <w:rPr>
          <w:rFonts w:hint="default"/>
        </w:rPr>
      </w:pPr>
      <w:r>
        <w:rPr>
          <w:rFonts w:hint="default"/>
        </w:rPr>
        <w:t>4、执行和监督分设原则：监督要公正客观，必须不直接参与执行；</w:t>
      </w:r>
    </w:p>
    <w:p w14:paraId="657BCA31">
      <w:pPr>
        <w:bidi w:val="0"/>
        <w:rPr>
          <w:rFonts w:hint="default"/>
        </w:rPr>
      </w:pPr>
      <w:r>
        <w:rPr>
          <w:rFonts w:hint="default"/>
        </w:rPr>
        <w:t>5、合理分工、团结协作；</w:t>
      </w:r>
    </w:p>
    <w:p w14:paraId="660ECED6">
      <w:pPr>
        <w:bidi w:val="0"/>
        <w:rPr>
          <w:rFonts w:hint="default"/>
        </w:rPr>
      </w:pPr>
      <w:r>
        <w:rPr>
          <w:rFonts w:hint="default"/>
        </w:rPr>
        <w:t>6、组织的总目标至高无上，任何个人和团体利益不能置于组织利益之上。</w:t>
      </w:r>
    </w:p>
    <w:p w14:paraId="56A73E2C">
      <w:pPr>
        <w:spacing w:line="360" w:lineRule="auto"/>
        <w:ind w:firstLine="480" w:firstLineChars="200"/>
        <w:rPr>
          <w:rFonts w:hint="default" w:ascii="Times New Roman" w:hAnsi="Times New Roman" w:eastAsia="宋体" w:cs="Times New Roman"/>
          <w:color w:val="000000"/>
          <w:sz w:val="24"/>
          <w:szCs w:val="24"/>
        </w:rPr>
      </w:pPr>
    </w:p>
    <w:p w14:paraId="6EF5906E">
      <w:pPr>
        <w:pStyle w:val="5"/>
        <w:spacing w:before="156" w:beforeLines="50" w:after="156" w:afterLines="50" w:line="360" w:lineRule="auto"/>
        <w:rPr>
          <w:rFonts w:hint="default" w:ascii="Times New Roman" w:hAnsi="Times New Roman" w:eastAsia="宋体" w:cs="Times New Roman"/>
          <w:sz w:val="24"/>
          <w:szCs w:val="24"/>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1B3B2F26">
      <w:pPr>
        <w:pStyle w:val="5"/>
        <w:bidi w:val="0"/>
        <w:rPr>
          <w:rFonts w:hint="default"/>
        </w:rPr>
      </w:pPr>
      <w:bookmarkStart w:id="7" w:name="_Toc2350"/>
      <w:r>
        <w:rPr>
          <w:rFonts w:hint="default"/>
        </w:rPr>
        <w:t>2.3  工艺流程简介</w:t>
      </w:r>
      <w:bookmarkEnd w:id="7"/>
    </w:p>
    <w:p w14:paraId="50112E73">
      <w:pPr>
        <w:bidi w:val="0"/>
        <w:rPr>
          <w:rFonts w:hint="eastAsia"/>
          <w:lang w:val="en-US" w:eastAsia="zh-CN"/>
        </w:rPr>
      </w:pPr>
      <w:r>
        <w:rPr>
          <w:rFonts w:hint="eastAsia"/>
          <w:lang w:val="en-US" w:eastAsia="zh-CN"/>
        </w:rPr>
        <w:t>（1）机加工车间</w:t>
      </w:r>
    </w:p>
    <w:p w14:paraId="7B078612">
      <w:pPr>
        <w:bidi w:val="0"/>
        <w:rPr>
          <w:rFonts w:hint="eastAsia"/>
          <w:lang w:val="en-US" w:eastAsia="zh-CN"/>
        </w:rPr>
      </w:pPr>
      <w:r>
        <w:rPr>
          <w:rFonts w:hint="eastAsia"/>
          <w:lang w:val="en-US" w:eastAsia="zh-CN"/>
        </w:rPr>
        <w:t>承担从毛坯加工至成品的任务，通过智能加工中心、在线SPC、信息化自动补偿、智能刀具管理等技术应用，实现多个平台缸体缸盖生产，将节能减排、绿色制造理念融入到制造系统各环节，形成高效柔性一体化的机加工系统，工艺流程如图所示：</w:t>
      </w:r>
    </w:p>
    <w:p w14:paraId="23531250">
      <w:pPr>
        <w:pStyle w:val="22"/>
        <w:spacing w:line="360" w:lineRule="auto"/>
        <w:ind w:left="0" w:leftChars="0" w:firstLine="0" w:firstLineChars="0"/>
        <w:jc w:val="center"/>
        <w:rPr>
          <w:rFonts w:hint="eastAsia" w:ascii="Times New Roman" w:hAnsi="Times New Roman" w:eastAsia="仿宋_GB2312" w:cs="Times New Roman"/>
          <w:color w:val="auto"/>
          <w:kern w:val="0"/>
          <w:sz w:val="28"/>
          <w:szCs w:val="22"/>
          <w:lang w:val="en-US" w:eastAsia="zh-CN" w:bidi="en-US"/>
        </w:rPr>
      </w:pPr>
      <w:r>
        <w:rPr>
          <w:rFonts w:hint="eastAsia" w:ascii="Times New Roman" w:hAnsi="Times New Roman" w:eastAsia="仿宋_GB2312" w:cs="Times New Roman"/>
          <w:color w:val="auto"/>
          <w:kern w:val="0"/>
          <w:sz w:val="28"/>
          <w:szCs w:val="22"/>
          <w:lang w:val="en-US" w:eastAsia="zh-CN" w:bidi="en-US"/>
        </w:rPr>
        <w:drawing>
          <wp:inline distT="0" distB="0" distL="114300" distR="114300">
            <wp:extent cx="5149215" cy="1813560"/>
            <wp:effectExtent l="0" t="0" r="13335" b="15240"/>
            <wp:docPr id="8" name="图片 8" descr="ea45c22be55f9d6af30875c82519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a45c22be55f9d6af30875c82519101"/>
                    <pic:cNvPicPr>
                      <a:picLocks noChangeAspect="1"/>
                    </pic:cNvPicPr>
                  </pic:nvPicPr>
                  <pic:blipFill>
                    <a:blip r:embed="rId12"/>
                    <a:srcRect l="2313"/>
                    <a:stretch>
                      <a:fillRect/>
                    </a:stretch>
                  </pic:blipFill>
                  <pic:spPr>
                    <a:xfrm>
                      <a:off x="0" y="0"/>
                      <a:ext cx="5149215" cy="1813560"/>
                    </a:xfrm>
                    <a:prstGeom prst="rect">
                      <a:avLst/>
                    </a:prstGeom>
                  </pic:spPr>
                </pic:pic>
              </a:graphicData>
            </a:graphic>
          </wp:inline>
        </w:drawing>
      </w:r>
    </w:p>
    <w:p w14:paraId="43BA0FB8">
      <w:pPr>
        <w:pStyle w:val="26"/>
        <w:bidi w:val="0"/>
        <w:rPr>
          <w:rFonts w:hint="default"/>
          <w:lang w:val="en-US" w:eastAsia="zh-CN"/>
        </w:rPr>
      </w:pPr>
      <w:r>
        <w:rPr>
          <w:rFonts w:hint="eastAsia"/>
          <w:lang w:val="en-US" w:eastAsia="zh-CN"/>
        </w:rPr>
        <w:t>图2-3机加工车间工艺流程图</w:t>
      </w:r>
    </w:p>
    <w:p w14:paraId="29710D3E">
      <w:pPr>
        <w:bidi w:val="0"/>
        <w:rPr>
          <w:rFonts w:hint="eastAsia"/>
          <w:lang w:val="en-US" w:eastAsia="zh-CN"/>
        </w:rPr>
      </w:pPr>
      <w:r>
        <w:rPr>
          <w:rFonts w:hint="eastAsia"/>
          <w:lang w:val="en-US" w:eastAsia="zh-CN"/>
        </w:rPr>
        <w:t>加工工艺概述：毛坯经机床加工、清洗及试漏等工序，完成从毛坯到成品的缸体缸盖加工。其中切削液采用集中过滤处理系统，切削液循环使用，上供上排及重力回液，绿色高效使用，铣削加工采用干式加工，更有效降低了切削液消耗，减少危废排放。</w:t>
      </w:r>
    </w:p>
    <w:p w14:paraId="48943866">
      <w:pPr>
        <w:bidi w:val="0"/>
        <w:rPr>
          <w:rFonts w:hint="eastAsia"/>
          <w:lang w:val="en-US" w:eastAsia="zh-CN"/>
        </w:rPr>
      </w:pPr>
      <w:r>
        <w:rPr>
          <w:rFonts w:hint="eastAsia"/>
          <w:lang w:val="en-US" w:eastAsia="zh-CN"/>
        </w:rPr>
        <w:t>（2）装配车间</w:t>
      </w:r>
    </w:p>
    <w:p w14:paraId="618FDFD4">
      <w:pPr>
        <w:bidi w:val="0"/>
        <w:rPr>
          <w:rFonts w:hint="eastAsia"/>
          <w:lang w:val="en-US" w:eastAsia="zh-CN"/>
        </w:rPr>
      </w:pPr>
      <w:r>
        <w:rPr>
          <w:rFonts w:hint="eastAsia"/>
          <w:lang w:val="en-US" w:eastAsia="zh-CN"/>
        </w:rPr>
        <w:t>装配线通过智能化检测、装配设备及工位，利用机器人和岛式工作站，提高现有产品系列的生产能力和生产效率，进而可以对新开发的甲醇燃料发动机进行装配、测试。同时升级自主创新研发的生产执行系统(MES)，确保全系列发动机100%的零部件信息通过二维码及RFID技术进行信息化采集、分析及对比纠错，并与ERP系统进行无缝对接，实现全过程的质量信息自动记录及可追溯管理。其主要工艺流程如下：</w:t>
      </w:r>
    </w:p>
    <w:p w14:paraId="38CB340B">
      <w:pPr>
        <w:pStyle w:val="2"/>
        <w:ind w:left="0" w:leftChars="0" w:firstLine="0" w:firstLineChars="0"/>
        <w:jc w:val="center"/>
        <w:rPr>
          <w:rFonts w:hint="eastAsia"/>
          <w:lang w:val="en-US" w:eastAsia="zh-CN"/>
        </w:rPr>
      </w:pPr>
      <w:r>
        <w:rPr>
          <w:rFonts w:hint="eastAsia"/>
          <w:lang w:val="en-US" w:eastAsia="zh-CN"/>
        </w:rPr>
        <w:drawing>
          <wp:inline distT="0" distB="0" distL="114300" distR="114300">
            <wp:extent cx="4944745" cy="2978785"/>
            <wp:effectExtent l="0" t="0" r="8255" b="12065"/>
            <wp:docPr id="9" name="图片 9" descr="31f56df85e725f1bc23802971d8cb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31f56df85e725f1bc23802971d8cbc0"/>
                    <pic:cNvPicPr>
                      <a:picLocks noChangeAspect="1"/>
                    </pic:cNvPicPr>
                  </pic:nvPicPr>
                  <pic:blipFill>
                    <a:blip r:embed="rId13"/>
                    <a:srcRect l="2757" t="2372" r="3491" b="866"/>
                    <a:stretch>
                      <a:fillRect/>
                    </a:stretch>
                  </pic:blipFill>
                  <pic:spPr>
                    <a:xfrm>
                      <a:off x="0" y="0"/>
                      <a:ext cx="4944745" cy="2978785"/>
                    </a:xfrm>
                    <a:prstGeom prst="rect">
                      <a:avLst/>
                    </a:prstGeom>
                  </pic:spPr>
                </pic:pic>
              </a:graphicData>
            </a:graphic>
          </wp:inline>
        </w:drawing>
      </w:r>
    </w:p>
    <w:p w14:paraId="165A88BD">
      <w:pPr>
        <w:pStyle w:val="26"/>
        <w:bidi w:val="0"/>
        <w:rPr>
          <w:rFonts w:hint="eastAsia"/>
          <w:lang w:val="en-US" w:eastAsia="zh-CN"/>
        </w:rPr>
      </w:pPr>
      <w:r>
        <w:rPr>
          <w:rFonts w:hint="eastAsia"/>
          <w:lang w:val="en-US" w:eastAsia="zh-CN"/>
        </w:rPr>
        <w:t>图2-4装配车间工艺流程图</w:t>
      </w:r>
    </w:p>
    <w:p w14:paraId="5668CC0F">
      <w:pPr>
        <w:bidi w:val="0"/>
        <w:rPr>
          <w:rFonts w:hint="eastAsia"/>
          <w:lang w:val="en-US" w:eastAsia="zh-CN"/>
        </w:rPr>
      </w:pPr>
      <w:r>
        <w:rPr>
          <w:rFonts w:hint="eastAsia"/>
        </w:rPr>
        <w:t>装配工艺概述：承担多机型柔性化自动生产，由内装线、外装线及活塞连杆预装线、缸盖预装线组成，内装线及缸盖预装线主要由自动装配完</w:t>
      </w:r>
      <w:r>
        <w:rPr>
          <w:rFonts w:hint="eastAsia"/>
          <w:lang w:val="en-US" w:eastAsia="zh-CN"/>
        </w:rPr>
        <w:t>成，外装人工辅助为主，全线由6台机器人工作站及20个自动站组成，生产订单由DCS系统与SAP系统无缝对接自动传输下达，装配完成后通过空中自行小车转运至试车进行磨合。</w:t>
      </w:r>
    </w:p>
    <w:p w14:paraId="56BE8DDA">
      <w:pPr>
        <w:bidi w:val="0"/>
        <w:rPr>
          <w:rFonts w:hint="eastAsia"/>
          <w:lang w:val="en-US" w:eastAsia="zh-CN"/>
        </w:rPr>
      </w:pPr>
      <w:r>
        <w:rPr>
          <w:rFonts w:hint="eastAsia"/>
          <w:lang w:val="en-US" w:eastAsia="zh-CN"/>
        </w:rPr>
        <w:t>（3）试车车间</w:t>
      </w:r>
    </w:p>
    <w:p w14:paraId="0101DBDC">
      <w:pPr>
        <w:bidi w:val="0"/>
        <w:rPr>
          <w:rFonts w:hint="eastAsia" w:ascii="Times New Roman" w:hAnsi="Times New Roman" w:cs="Times New Roman"/>
          <w:lang w:val="en-US" w:eastAsia="zh-CN"/>
        </w:rPr>
      </w:pPr>
      <w:r>
        <w:rPr>
          <w:rFonts w:hint="eastAsia"/>
          <w:lang w:val="en-US" w:eastAsia="zh-CN"/>
        </w:rPr>
        <w:t>发动机热试共有16台水力测功机，满足各机型磨合需求，与预装线之间通过激光导引AGV小车自动转运，形成预装、加注、抽油、控制、测试等功能一体化测试工艺系统。其主要工艺流程如下：</w:t>
      </w:r>
    </w:p>
    <w:p w14:paraId="3BAE7EC5">
      <w:pPr>
        <w:pStyle w:val="2"/>
        <w:ind w:left="0" w:leftChars="0" w:firstLine="0" w:firstLineChars="0"/>
        <w:jc w:val="center"/>
        <w:rPr>
          <w:rFonts w:hint="default"/>
          <w:lang w:val="en-US" w:eastAsia="zh-CN"/>
        </w:rPr>
      </w:pPr>
      <w:r>
        <w:rPr>
          <w:rFonts w:hint="default"/>
          <w:lang w:val="en-US" w:eastAsia="zh-CN"/>
        </w:rPr>
        <w:drawing>
          <wp:inline distT="0" distB="0" distL="114300" distR="114300">
            <wp:extent cx="5272405" cy="1671955"/>
            <wp:effectExtent l="0" t="0" r="4445" b="4445"/>
            <wp:docPr id="12" name="图片 12" descr="887df2e0078f2fb3bcfd1098acc3c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887df2e0078f2fb3bcfd1098acc3cc5"/>
                    <pic:cNvPicPr>
                      <a:picLocks noChangeAspect="1"/>
                    </pic:cNvPicPr>
                  </pic:nvPicPr>
                  <pic:blipFill>
                    <a:blip r:embed="rId14"/>
                    <a:stretch>
                      <a:fillRect/>
                    </a:stretch>
                  </pic:blipFill>
                  <pic:spPr>
                    <a:xfrm>
                      <a:off x="0" y="0"/>
                      <a:ext cx="5272405" cy="1671955"/>
                    </a:xfrm>
                    <a:prstGeom prst="rect">
                      <a:avLst/>
                    </a:prstGeom>
                  </pic:spPr>
                </pic:pic>
              </a:graphicData>
            </a:graphic>
          </wp:inline>
        </w:drawing>
      </w:r>
    </w:p>
    <w:p w14:paraId="3EE5DE43">
      <w:pPr>
        <w:pStyle w:val="26"/>
        <w:bidi w:val="0"/>
        <w:rPr>
          <w:rFonts w:hint="default"/>
          <w:lang w:val="en-US" w:eastAsia="zh-CN"/>
        </w:rPr>
      </w:pPr>
      <w:r>
        <w:rPr>
          <w:rFonts w:hint="eastAsia"/>
          <w:lang w:val="en-US" w:eastAsia="zh-CN"/>
        </w:rPr>
        <w:t>图2-5试车车间工艺流程图</w:t>
      </w:r>
    </w:p>
    <w:p w14:paraId="4F758133">
      <w:pPr>
        <w:bidi w:val="0"/>
        <w:rPr>
          <w:rFonts w:hint="eastAsia"/>
          <w:lang w:val="en-US" w:eastAsia="zh-CN"/>
        </w:rPr>
      </w:pPr>
      <w:r>
        <w:rPr>
          <w:rFonts w:hint="eastAsia"/>
          <w:lang w:val="en-US" w:eastAsia="zh-CN"/>
        </w:rPr>
        <w:t>试车工艺概述：承担发动机下线磨合测试任务，主要检查发动机各项性能指标，确保达到出厂要求。通过对设备系统设计及制造严格把控，创新引入噪声控制技术及循环经济理念，采用六面体箱式全封闭测试间，最大程度隔绝噪音；发动机转运采用AGV激光导引小车，可随生产线柔性调整运输路线，无需土建预埋或叉车使用，减少柴油叉车造成的高污染及尾气排放。发动机尾气排放经过SCR处理后排放，打造环境友好型全新热试系统。</w:t>
      </w:r>
    </w:p>
    <w:p w14:paraId="6623D978">
      <w:pPr>
        <w:bidi w:val="0"/>
        <w:rPr>
          <w:rFonts w:hint="eastAsia"/>
          <w:lang w:val="en-US" w:eastAsia="zh-CN"/>
        </w:rPr>
      </w:pPr>
      <w:r>
        <w:rPr>
          <w:rFonts w:hint="eastAsia"/>
          <w:lang w:val="en-US" w:eastAsia="zh-CN"/>
        </w:rPr>
        <w:t>（4）涂装车间</w:t>
      </w:r>
    </w:p>
    <w:p w14:paraId="2469C731">
      <w:pPr>
        <w:bidi w:val="0"/>
        <w:rPr>
          <w:rFonts w:hint="eastAsia" w:ascii="Times New Roman" w:hAnsi="Times New Roman" w:cs="Times New Roman"/>
          <w:lang w:val="en-US" w:eastAsia="zh-CN"/>
        </w:rPr>
      </w:pPr>
      <w:r>
        <w:rPr>
          <w:rFonts w:hint="eastAsia"/>
          <w:lang w:val="en-US" w:eastAsia="zh-CN"/>
        </w:rPr>
        <w:t>发动机涂装采用目前行业内先进的硅烷化处理工艺。通过开发低碳环保底面合一的油漆，减少喷涂次数，提高效率，节能30%以上、减少污染物排放约80%。其主要工艺流程如</w:t>
      </w:r>
      <w:r>
        <w:rPr>
          <w:rFonts w:hint="eastAsia" w:ascii="Times New Roman" w:hAnsi="Times New Roman" w:cs="Times New Roman"/>
          <w:lang w:val="en-US" w:eastAsia="zh-CN"/>
        </w:rPr>
        <w:t>下：</w:t>
      </w:r>
    </w:p>
    <w:p w14:paraId="74D163B8">
      <w:pPr>
        <w:pStyle w:val="2"/>
        <w:ind w:left="0" w:leftChars="0" w:firstLine="0" w:firstLineChars="0"/>
        <w:jc w:val="center"/>
        <w:rPr>
          <w:rFonts w:hint="default"/>
          <w:lang w:val="en-US" w:eastAsia="zh-CN"/>
        </w:rPr>
      </w:pPr>
      <w:r>
        <w:rPr>
          <w:rFonts w:hint="default"/>
          <w:lang w:val="en-US" w:eastAsia="zh-CN"/>
        </w:rPr>
        <w:drawing>
          <wp:inline distT="0" distB="0" distL="114300" distR="114300">
            <wp:extent cx="5269230" cy="1836420"/>
            <wp:effectExtent l="0" t="0" r="7620" b="11430"/>
            <wp:docPr id="13" name="图片 13" descr="4c2445d8e5cd294b7302f62fd1ddc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4c2445d8e5cd294b7302f62fd1ddcdc"/>
                    <pic:cNvPicPr>
                      <a:picLocks noChangeAspect="1"/>
                    </pic:cNvPicPr>
                  </pic:nvPicPr>
                  <pic:blipFill>
                    <a:blip r:embed="rId15"/>
                    <a:stretch>
                      <a:fillRect/>
                    </a:stretch>
                  </pic:blipFill>
                  <pic:spPr>
                    <a:xfrm>
                      <a:off x="0" y="0"/>
                      <a:ext cx="5269230" cy="1836420"/>
                    </a:xfrm>
                    <a:prstGeom prst="rect">
                      <a:avLst/>
                    </a:prstGeom>
                  </pic:spPr>
                </pic:pic>
              </a:graphicData>
            </a:graphic>
          </wp:inline>
        </w:drawing>
      </w:r>
    </w:p>
    <w:p w14:paraId="30E257DD">
      <w:pPr>
        <w:pStyle w:val="26"/>
        <w:bidi w:val="0"/>
        <w:rPr>
          <w:rFonts w:hint="default"/>
          <w:lang w:val="en-US" w:eastAsia="zh-CN"/>
        </w:rPr>
      </w:pPr>
      <w:r>
        <w:rPr>
          <w:rFonts w:hint="eastAsia"/>
          <w:lang w:val="en-US" w:eastAsia="zh-CN"/>
        </w:rPr>
        <w:t>图2-6涂装车间工艺流程图</w:t>
      </w:r>
    </w:p>
    <w:p w14:paraId="3A5425EE">
      <w:pPr>
        <w:rPr>
          <w:rFonts w:hint="default"/>
        </w:rPr>
      </w:pPr>
      <w:r>
        <w:rPr>
          <w:rFonts w:hint="eastAsia" w:ascii="Times New Roman" w:hAnsi="Times New Roman" w:cs="Times New Roman"/>
          <w:lang w:val="en-US" w:eastAsia="zh-CN"/>
        </w:rPr>
        <w:t>涂装工艺概述：承担发动机表面处理任务，零部件已按照要求喷漆处理，涂装工艺仅承担加工面及铸铝件喷清漆，处理工艺简单、处理时间短；减少前处理、底漆喷涂等步骤，降低能耗及尾气燃烧排放，更加绿色节能。</w:t>
      </w:r>
    </w:p>
    <w:p w14:paraId="52D5BFC0">
      <w:pPr>
        <w:pStyle w:val="5"/>
        <w:bidi w:val="0"/>
        <w:rPr>
          <w:rFonts w:hint="default"/>
        </w:rPr>
      </w:pPr>
      <w:bookmarkStart w:id="8" w:name="_Toc22481"/>
      <w:r>
        <w:rPr>
          <w:rFonts w:hint="default"/>
        </w:rPr>
        <w:t>2.4  核算单元划分及排放源识别</w:t>
      </w:r>
      <w:bookmarkEnd w:id="8"/>
    </w:p>
    <w:p w14:paraId="0863D162">
      <w:pPr>
        <w:bidi w:val="0"/>
        <w:rPr>
          <w:rFonts w:hint="default"/>
          <w:b/>
          <w:bCs/>
        </w:rPr>
      </w:pPr>
      <w:r>
        <w:rPr>
          <w:rFonts w:hint="default"/>
          <w:b/>
          <w:bCs/>
        </w:rPr>
        <w:t>1、企业核算单元划分</w:t>
      </w:r>
    </w:p>
    <w:p w14:paraId="75B1CCB6">
      <w:pPr>
        <w:ind w:firstLine="880"/>
        <w:rPr>
          <w:rFonts w:hint="default" w:ascii="Times New Roman" w:hAnsi="Times New Roman" w:cs="Times New Roman"/>
          <w:lang w:val="en-US" w:eastAsia="zh-CN"/>
        </w:rPr>
      </w:pPr>
      <w:r>
        <w:rPr>
          <w:rFonts w:hint="eastAsia" w:ascii="Times New Roman" w:hAnsi="Times New Roman" w:cs="Times New Roman"/>
          <w:lang w:val="en-US" w:eastAsia="zh-CN"/>
        </w:rPr>
        <w:t>安徽汉马发动机</w:t>
      </w:r>
      <w:r>
        <w:rPr>
          <w:rFonts w:hint="default" w:ascii="Times New Roman" w:hAnsi="Times New Roman" w:cs="Times New Roman"/>
          <w:lang w:val="en-US" w:eastAsia="zh-CN"/>
        </w:rPr>
        <w:t>有限公司，位于</w:t>
      </w:r>
      <w:r>
        <w:rPr>
          <w:rFonts w:hint="eastAsia" w:ascii="Times New Roman" w:hAnsi="Times New Roman" w:cs="Times New Roman"/>
          <w:lang w:val="en-US" w:eastAsia="zh-CN"/>
        </w:rPr>
        <w:t>安徽省马鞍山市经济技术开发区湖西南路359号</w:t>
      </w:r>
      <w:r>
        <w:rPr>
          <w:rFonts w:hint="default" w:ascii="Times New Roman" w:hAnsi="Times New Roman" w:cs="Times New Roman"/>
          <w:lang w:val="en-US" w:eastAsia="zh-CN"/>
        </w:rPr>
        <w:t>。</w:t>
      </w:r>
    </w:p>
    <w:p w14:paraId="539361A2">
      <w:pPr>
        <w:ind w:firstLine="880"/>
        <w:rPr>
          <w:rFonts w:hint="default" w:ascii="Times New Roman" w:hAnsi="Times New Roman" w:cs="Times New Roman"/>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default" w:ascii="Times New Roman" w:hAnsi="Times New Roman" w:cs="Times New Roman"/>
          <w:lang w:val="en-US" w:eastAsia="zh-CN"/>
        </w:rPr>
        <w:t>企业温室气体排放核算边界为整个厂区，厂区布置如图2-</w:t>
      </w:r>
      <w:r>
        <w:rPr>
          <w:rFonts w:hint="eastAsia" w:ascii="Times New Roman" w:hAnsi="Times New Roman" w:cs="Times New Roman"/>
          <w:lang w:val="en-US" w:eastAsia="zh-CN"/>
        </w:rPr>
        <w:t>7</w:t>
      </w:r>
      <w:r>
        <w:rPr>
          <w:rFonts w:hint="default" w:ascii="Times New Roman" w:hAnsi="Times New Roman" w:cs="Times New Roman"/>
          <w:lang w:val="en-US" w:eastAsia="zh-CN"/>
        </w:rPr>
        <w:t>所示</w:t>
      </w:r>
    </w:p>
    <w:p w14:paraId="347D2C22">
      <w:pPr>
        <w:bidi w:val="0"/>
        <w:ind w:left="0" w:leftChars="0" w:firstLine="0" w:firstLineChars="0"/>
        <w:jc w:val="center"/>
        <w:rPr>
          <w:rFonts w:hint="default"/>
          <w:lang w:eastAsia="zh-CN"/>
        </w:rPr>
      </w:pPr>
      <w:r>
        <w:rPr>
          <w:rFonts w:hint="eastAsia"/>
        </w:rPr>
        <w:drawing>
          <wp:inline distT="0" distB="0" distL="0" distR="0">
            <wp:extent cx="4727575" cy="7844790"/>
            <wp:effectExtent l="0" t="0" r="3810" b="15875"/>
            <wp:docPr id="67" name="图片 67" descr="附件6、职业病危害现状评价报告_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附件6、职业病危害现状评价报告_28"/>
                    <pic:cNvPicPr>
                      <a:picLocks noChangeAspect="1" noChangeArrowheads="1"/>
                    </pic:cNvPicPr>
                  </pic:nvPicPr>
                  <pic:blipFill>
                    <a:blip r:embed="rId16" cstate="print">
                      <a:extLst>
                        <a:ext uri="{28A0092B-C50C-407E-A947-70E740481C1C}">
                          <a14:useLocalDpi xmlns:a14="http://schemas.microsoft.com/office/drawing/2010/main" val="0"/>
                        </a:ext>
                      </a:extLst>
                    </a:blip>
                    <a:srcRect l="13390" t="7491" r="9078" b="12053"/>
                    <a:stretch>
                      <a:fillRect/>
                    </a:stretch>
                  </pic:blipFill>
                  <pic:spPr>
                    <a:xfrm rot="5400000">
                      <a:off x="0" y="0"/>
                      <a:ext cx="4727575" cy="7844790"/>
                    </a:xfrm>
                    <a:prstGeom prst="rect">
                      <a:avLst/>
                    </a:prstGeom>
                    <a:noFill/>
                    <a:ln>
                      <a:noFill/>
                    </a:ln>
                  </pic:spPr>
                </pic:pic>
              </a:graphicData>
            </a:graphic>
          </wp:inline>
        </w:drawing>
      </w:r>
    </w:p>
    <w:p w14:paraId="0D1BAD59">
      <w:pPr>
        <w:pStyle w:val="26"/>
        <w:bidi w:val="0"/>
        <w:rPr>
          <w:rFonts w:hint="default"/>
        </w:rPr>
      </w:pPr>
      <w:r>
        <w:rPr>
          <w:rFonts w:hint="default"/>
        </w:rPr>
        <w:t>图2-</w:t>
      </w:r>
      <w:r>
        <w:rPr>
          <w:rFonts w:hint="eastAsia"/>
          <w:lang w:val="en-US" w:eastAsia="zh-CN"/>
        </w:rPr>
        <w:t>7</w:t>
      </w:r>
      <w:r>
        <w:rPr>
          <w:rFonts w:hint="default"/>
        </w:rPr>
        <w:t>厂区布置图</w:t>
      </w:r>
    </w:p>
    <w:p w14:paraId="46815EF0">
      <w:pPr>
        <w:spacing w:line="360" w:lineRule="auto"/>
        <w:ind w:firstLine="480" w:firstLineChars="200"/>
        <w:rPr>
          <w:rFonts w:hint="default" w:ascii="Times New Roman" w:hAnsi="Times New Roman" w:eastAsia="宋体" w:cs="Times New Roman"/>
          <w:sz w:val="24"/>
          <w:szCs w:val="24"/>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720" w:num="1"/>
          <w:docGrid w:type="lines" w:linePitch="312" w:charSpace="0"/>
        </w:sectPr>
      </w:pPr>
    </w:p>
    <w:p w14:paraId="25EAD9E5">
      <w:pPr>
        <w:bidi w:val="0"/>
        <w:rPr>
          <w:rFonts w:hint="default"/>
        </w:rPr>
      </w:pPr>
      <w:r>
        <w:rPr>
          <w:rFonts w:hint="eastAsia"/>
          <w:lang w:eastAsia="zh-CN"/>
        </w:rPr>
        <w:t>安徽汉马发动机</w:t>
      </w:r>
      <w:r>
        <w:rPr>
          <w:rFonts w:hint="default"/>
          <w:lang w:eastAsia="zh-CN"/>
        </w:rPr>
        <w:t>有限公司</w:t>
      </w:r>
      <w:r>
        <w:rPr>
          <w:rFonts w:hint="default"/>
        </w:rPr>
        <w:t>的主要能源流向简图如图2-</w:t>
      </w:r>
      <w:r>
        <w:rPr>
          <w:rFonts w:hint="eastAsia"/>
          <w:lang w:val="en-US" w:eastAsia="zh-CN"/>
        </w:rPr>
        <w:t>8</w:t>
      </w:r>
      <w:r>
        <w:rPr>
          <w:rFonts w:hint="default"/>
        </w:rPr>
        <w:t>所示。</w:t>
      </w:r>
    </w:p>
    <w:p w14:paraId="2B15B9A6">
      <w:pPr>
        <w:spacing w:line="360" w:lineRule="auto"/>
        <w:jc w:val="center"/>
        <w:rPr>
          <w:rFonts w:hint="default" w:ascii="Times New Roman" w:hAnsi="Times New Roman" w:cs="Times New Roman"/>
        </w:rPr>
      </w:pPr>
      <w:r>
        <w:rPr>
          <w:rFonts w:hint="default" w:ascii="Times New Roman" w:hAnsi="Times New Roman" w:cs="Times New Roman"/>
        </w:rPr>
        <w:object>
          <v:shape id="_x0000_i1025" o:spt="75" type="#_x0000_t75" style="height:199.4pt;width:379pt;" o:ole="t" filled="f" o:preferrelative="t" stroked="f" coordsize="21600,21600">
            <v:path/>
            <v:fill on="f" focussize="0,0"/>
            <v:stroke on="f"/>
            <v:imagedata r:id="rId18" o:title=""/>
            <o:lock v:ext="edit" aspectratio="t"/>
            <w10:wrap type="none"/>
            <w10:anchorlock/>
          </v:shape>
          <o:OLEObject Type="Embed" ProgID="Visio.Drawing.15" ShapeID="_x0000_i1025" DrawAspect="Content" ObjectID="_1468075725" r:id="rId17">
            <o:LockedField>false</o:LockedField>
          </o:OLEObject>
        </w:object>
      </w:r>
    </w:p>
    <w:p w14:paraId="5C98E564">
      <w:pPr>
        <w:pStyle w:val="26"/>
        <w:bidi w:val="0"/>
        <w:rPr>
          <w:rFonts w:hint="default"/>
        </w:rPr>
      </w:pPr>
      <w:r>
        <w:rPr>
          <w:rFonts w:hint="default"/>
        </w:rPr>
        <w:t>图2-</w:t>
      </w:r>
      <w:r>
        <w:rPr>
          <w:rFonts w:hint="eastAsia"/>
          <w:lang w:val="en-US" w:eastAsia="zh-CN"/>
        </w:rPr>
        <w:t>8</w:t>
      </w:r>
      <w:r>
        <w:rPr>
          <w:rFonts w:hint="default"/>
        </w:rPr>
        <w:t xml:space="preserve">  能源流向简图</w:t>
      </w:r>
    </w:p>
    <w:p w14:paraId="014297F3">
      <w:pPr>
        <w:bidi w:val="0"/>
        <w:rPr>
          <w:rFonts w:hint="default"/>
        </w:rPr>
      </w:pPr>
      <w:r>
        <w:rPr>
          <w:rFonts w:hint="default"/>
        </w:rPr>
        <w:t>根据各生</w:t>
      </w:r>
      <w:r>
        <w:rPr>
          <w:rFonts w:hint="default" w:ascii="Times New Roman" w:hAnsi="Times New Roman"/>
        </w:rPr>
        <w:t>产工艺流程图，企业主要外购原料为</w:t>
      </w:r>
      <w:r>
        <w:rPr>
          <w:rFonts w:hint="eastAsia" w:ascii="Times New Roman" w:hAnsi="Times New Roman"/>
        </w:rPr>
        <w:t>缸</w:t>
      </w:r>
      <w:r>
        <w:rPr>
          <w:rFonts w:hint="eastAsia" w:ascii="Times New Roman" w:hAnsi="Times New Roman"/>
          <w:lang w:val="en-US" w:eastAsia="zh-CN"/>
        </w:rPr>
        <w:t>体、缸盖、曲轴、飞轮壳等</w:t>
      </w:r>
      <w:r>
        <w:rPr>
          <w:rFonts w:hint="default" w:ascii="Times New Roman" w:hAnsi="Times New Roman"/>
        </w:rPr>
        <w:t>，企业</w:t>
      </w:r>
      <w:r>
        <w:rPr>
          <w:rFonts w:hint="default"/>
        </w:rPr>
        <w:t>生产过程主要消耗电力、天然气</w:t>
      </w:r>
      <w:r>
        <w:rPr>
          <w:rFonts w:hint="eastAsia"/>
          <w:lang w:val="en-US" w:eastAsia="zh-CN"/>
        </w:rPr>
        <w:t>和柴油</w:t>
      </w:r>
      <w:r>
        <w:rPr>
          <w:rFonts w:hint="default"/>
        </w:rPr>
        <w:t>等。</w:t>
      </w:r>
    </w:p>
    <w:p w14:paraId="4E86704D">
      <w:pPr>
        <w:bidi w:val="0"/>
        <w:rPr>
          <w:rFonts w:hint="default"/>
          <w:b/>
          <w:bCs/>
        </w:rPr>
      </w:pPr>
      <w:r>
        <w:rPr>
          <w:rFonts w:hint="default"/>
          <w:b/>
          <w:bCs/>
        </w:rPr>
        <w:t>2、排放源识别</w:t>
      </w:r>
    </w:p>
    <w:p w14:paraId="4A39BDE4">
      <w:pPr>
        <w:bidi w:val="0"/>
        <w:rPr>
          <w:rFonts w:hint="default"/>
        </w:rPr>
      </w:pPr>
      <w:r>
        <w:rPr>
          <w:rFonts w:hint="default"/>
        </w:rPr>
        <w:t>根据企业生产工艺，报告主体识别了电力（华东地区电网）、天然气</w:t>
      </w:r>
      <w:r>
        <w:rPr>
          <w:rFonts w:hint="eastAsia"/>
          <w:lang w:val="en-US" w:eastAsia="zh-CN"/>
        </w:rPr>
        <w:t>和柴油3</w:t>
      </w:r>
      <w:r>
        <w:rPr>
          <w:rFonts w:hint="default"/>
        </w:rPr>
        <w:t>个识别项。</w:t>
      </w:r>
    </w:p>
    <w:p w14:paraId="51B3D037">
      <w:pPr>
        <w:spacing w:line="360" w:lineRule="auto"/>
        <w:ind w:firstLine="480" w:firstLineChars="200"/>
        <w:jc w:val="left"/>
        <w:rPr>
          <w:rFonts w:hint="default" w:ascii="Times New Roman" w:hAnsi="Times New Roman" w:eastAsia="宋体" w:cs="Times New Roman"/>
          <w:sz w:val="24"/>
          <w:szCs w:val="24"/>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3C497723">
      <w:pPr>
        <w:pStyle w:val="4"/>
        <w:bidi w:val="0"/>
        <w:rPr>
          <w:rFonts w:hint="default"/>
        </w:rPr>
      </w:pPr>
      <w:bookmarkStart w:id="9" w:name="_Toc14895"/>
      <w:r>
        <w:rPr>
          <w:rFonts w:hint="default"/>
        </w:rPr>
        <w:t>3  温室气体排放</w:t>
      </w:r>
      <w:bookmarkEnd w:id="9"/>
    </w:p>
    <w:p w14:paraId="59ED4251">
      <w:pPr>
        <w:pStyle w:val="5"/>
        <w:bidi w:val="0"/>
        <w:rPr>
          <w:rFonts w:hint="default"/>
        </w:rPr>
      </w:pPr>
      <w:bookmarkStart w:id="10" w:name="_Toc24498"/>
      <w:r>
        <w:rPr>
          <w:rFonts w:hint="default"/>
        </w:rPr>
        <w:t>3.1 各排放源分项计算</w:t>
      </w:r>
      <w:bookmarkEnd w:id="10"/>
    </w:p>
    <w:p w14:paraId="70BE75A7">
      <w:pPr>
        <w:bidi w:val="0"/>
        <w:rPr>
          <w:rFonts w:hint="default"/>
        </w:rPr>
      </w:pPr>
      <w:r>
        <w:rPr>
          <w:rFonts w:hint="default"/>
        </w:rPr>
        <w:t>报告主体在生产过程中消耗电力</w:t>
      </w:r>
      <w:r>
        <w:rPr>
          <w:rFonts w:hint="eastAsia"/>
          <w:lang w:eastAsia="zh-CN"/>
        </w:rPr>
        <w:t>、</w:t>
      </w:r>
      <w:r>
        <w:rPr>
          <w:rFonts w:hint="default"/>
        </w:rPr>
        <w:t>天然气</w:t>
      </w:r>
      <w:r>
        <w:rPr>
          <w:rFonts w:hint="eastAsia"/>
          <w:lang w:val="en-US" w:eastAsia="zh-CN"/>
        </w:rPr>
        <w:t>和柴油</w:t>
      </w:r>
      <w:r>
        <w:rPr>
          <w:rFonts w:hint="default"/>
        </w:rPr>
        <w:t>，根据企业实际采购的结算凭证，并根据《2019年度减排项目中国区域电网基准线排放因子》和《工业其他行业企业温室气体排放核算方法与报告指南（试行）》（发改办气候〔2015〕1722号），在核算单元划分、碳源流及排放源识别的基础上，报告主体核算并报告了各核算单元的温室气体排放量以及其下各排放源的排放量，报告主体202</w:t>
      </w:r>
      <w:r>
        <w:rPr>
          <w:rFonts w:hint="eastAsia"/>
          <w:lang w:val="en-US" w:eastAsia="zh-CN"/>
        </w:rPr>
        <w:t>4</w:t>
      </w:r>
      <w:r>
        <w:rPr>
          <w:rFonts w:hint="default"/>
        </w:rPr>
        <w:t>年度温室气体排放总量如下。</w:t>
      </w:r>
    </w:p>
    <w:p w14:paraId="28502327">
      <w:pPr>
        <w:spacing w:line="360" w:lineRule="auto"/>
        <w:ind w:firstLine="480" w:firstLineChars="200"/>
        <w:rPr>
          <w:rFonts w:hint="default" w:ascii="Times New Roman" w:hAnsi="Times New Roman" w:eastAsia="宋体" w:cs="Times New Roman"/>
          <w:sz w:val="24"/>
          <w:szCs w:val="24"/>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2193E558">
      <w:pPr>
        <w:pStyle w:val="27"/>
        <w:bidi w:val="0"/>
        <w:rPr>
          <w:rFonts w:hint="default"/>
        </w:rPr>
      </w:pPr>
      <w:r>
        <w:rPr>
          <w:rFonts w:hint="default"/>
        </w:rPr>
        <w:t>表3-1  固定源化石燃料燃烧排放数据表</w:t>
      </w:r>
    </w:p>
    <w:tbl>
      <w:tblPr>
        <w:tblStyle w:val="11"/>
        <w:tblW w:w="5000" w:type="pct"/>
        <w:tblInd w:w="0" w:type="dxa"/>
        <w:tblLayout w:type="autofit"/>
        <w:tblCellMar>
          <w:top w:w="0" w:type="dxa"/>
          <w:left w:w="108" w:type="dxa"/>
          <w:bottom w:w="0" w:type="dxa"/>
          <w:right w:w="108" w:type="dxa"/>
        </w:tblCellMar>
      </w:tblPr>
      <w:tblGrid>
        <w:gridCol w:w="919"/>
        <w:gridCol w:w="1588"/>
        <w:gridCol w:w="1942"/>
        <w:gridCol w:w="2560"/>
        <w:gridCol w:w="2427"/>
        <w:gridCol w:w="2189"/>
        <w:gridCol w:w="2549"/>
      </w:tblGrid>
      <w:tr w14:paraId="456192D6">
        <w:tblPrEx>
          <w:tblCellMar>
            <w:top w:w="0" w:type="dxa"/>
            <w:left w:w="108" w:type="dxa"/>
            <w:bottom w:w="0" w:type="dxa"/>
            <w:right w:w="108" w:type="dxa"/>
          </w:tblCellMar>
        </w:tblPrEx>
        <w:trPr>
          <w:trHeight w:val="330" w:hRule="atLeast"/>
        </w:trPr>
        <w:tc>
          <w:tcPr>
            <w:tcW w:w="4100" w:type="pct"/>
            <w:gridSpan w:val="6"/>
            <w:tcBorders>
              <w:top w:val="single" w:color="auto" w:sz="8" w:space="0"/>
              <w:left w:val="single" w:color="auto" w:sz="8" w:space="0"/>
              <w:bottom w:val="single" w:color="auto" w:sz="8" w:space="0"/>
              <w:right w:val="single" w:color="000000" w:sz="8" w:space="0"/>
            </w:tcBorders>
            <w:noWrap w:val="0"/>
            <w:vAlign w:val="center"/>
          </w:tcPr>
          <w:p w14:paraId="494F442E">
            <w:pPr>
              <w:widowControl/>
              <w:snapToGrid w:val="0"/>
              <w:spacing w:line="360" w:lineRule="auto"/>
              <w:ind w:left="0" w:leftChars="0" w:firstLine="0" w:firstLineChars="0"/>
              <w:jc w:val="left"/>
              <w:rPr>
                <w:rFonts w:hint="default" w:ascii="Times New Roman" w:hAnsi="Times New Roman" w:eastAsia="宋体" w:cs="Times New Roman"/>
                <w:color w:val="000000"/>
                <w:kern w:val="0"/>
                <w:sz w:val="24"/>
                <w:szCs w:val="24"/>
                <w:lang w:eastAsia="zh-CN"/>
              </w:rPr>
            </w:pPr>
            <w:r>
              <w:rPr>
                <w:rFonts w:hint="default" w:ascii="Times New Roman" w:hAnsi="Times New Roman" w:eastAsia="宋体" w:cs="Times New Roman"/>
                <w:color w:val="000000"/>
                <w:kern w:val="0"/>
                <w:sz w:val="24"/>
                <w:szCs w:val="24"/>
              </w:rPr>
              <w:t>报告主体名称：</w:t>
            </w:r>
            <w:r>
              <w:rPr>
                <w:rFonts w:hint="eastAsia" w:ascii="Times New Roman" w:hAnsi="Times New Roman" w:eastAsia="宋体" w:cs="Times New Roman"/>
                <w:color w:val="000000"/>
                <w:kern w:val="0"/>
                <w:sz w:val="24"/>
                <w:szCs w:val="24"/>
                <w:lang w:eastAsia="zh-CN"/>
              </w:rPr>
              <w:t>安徽汉马发动机</w:t>
            </w:r>
            <w:r>
              <w:rPr>
                <w:rFonts w:hint="default" w:ascii="Times New Roman" w:hAnsi="Times New Roman" w:eastAsia="宋体" w:cs="Times New Roman"/>
                <w:color w:val="000000"/>
                <w:kern w:val="0"/>
                <w:sz w:val="24"/>
                <w:szCs w:val="24"/>
                <w:lang w:eastAsia="zh-CN"/>
              </w:rPr>
              <w:t>有限公司</w:t>
            </w:r>
          </w:p>
        </w:tc>
        <w:tc>
          <w:tcPr>
            <w:tcW w:w="899" w:type="pct"/>
            <w:tcBorders>
              <w:top w:val="single" w:color="auto" w:sz="8" w:space="0"/>
              <w:left w:val="nil"/>
              <w:bottom w:val="single" w:color="auto" w:sz="8" w:space="0"/>
              <w:right w:val="single" w:color="auto" w:sz="8" w:space="0"/>
            </w:tcBorders>
            <w:noWrap w:val="0"/>
            <w:vAlign w:val="center"/>
          </w:tcPr>
          <w:p w14:paraId="2DD4A4BD">
            <w:pPr>
              <w:widowControl/>
              <w:snapToGrid w:val="0"/>
              <w:spacing w:line="360" w:lineRule="auto"/>
              <w:ind w:left="0" w:leftChars="0" w:firstLine="0" w:firstLineChars="0"/>
              <w:jc w:val="center"/>
              <w:rPr>
                <w:rFonts w:hint="eastAsia" w:ascii="Times New Roman" w:hAnsi="Times New Roman" w:eastAsia="宋体" w:cs="Times New Roman"/>
                <w:color w:val="000000"/>
                <w:kern w:val="0"/>
                <w:sz w:val="24"/>
                <w:szCs w:val="24"/>
                <w:lang w:val="en-US" w:eastAsia="zh-CN"/>
              </w:rPr>
            </w:pPr>
            <w:r>
              <w:rPr>
                <w:rFonts w:hint="default" w:ascii="Times New Roman" w:hAnsi="Times New Roman" w:eastAsia="宋体" w:cs="Times New Roman"/>
                <w:color w:val="000000"/>
                <w:kern w:val="0"/>
                <w:sz w:val="24"/>
                <w:szCs w:val="24"/>
              </w:rPr>
              <w:t>年度：202</w:t>
            </w:r>
            <w:r>
              <w:rPr>
                <w:rFonts w:hint="eastAsia" w:ascii="Times New Roman" w:hAnsi="Times New Roman" w:eastAsia="宋体" w:cs="Times New Roman"/>
                <w:color w:val="000000"/>
                <w:kern w:val="0"/>
                <w:sz w:val="24"/>
                <w:szCs w:val="24"/>
                <w:lang w:val="en-US" w:eastAsia="zh-CN"/>
              </w:rPr>
              <w:t>4</w:t>
            </w:r>
          </w:p>
        </w:tc>
      </w:tr>
      <w:tr w14:paraId="5C501C23">
        <w:tblPrEx>
          <w:tblCellMar>
            <w:top w:w="0" w:type="dxa"/>
            <w:left w:w="108" w:type="dxa"/>
            <w:bottom w:w="0" w:type="dxa"/>
            <w:right w:w="108" w:type="dxa"/>
          </w:tblCellMar>
        </w:tblPrEx>
        <w:trPr>
          <w:trHeight w:val="300" w:hRule="atLeast"/>
        </w:trPr>
        <w:tc>
          <w:tcPr>
            <w:tcW w:w="324" w:type="pct"/>
            <w:tcBorders>
              <w:top w:val="nil"/>
              <w:left w:val="single" w:color="auto" w:sz="8" w:space="0"/>
              <w:bottom w:val="single" w:color="000000" w:sz="8" w:space="0"/>
              <w:right w:val="single" w:color="auto" w:sz="8" w:space="0"/>
            </w:tcBorders>
            <w:noWrap w:val="0"/>
            <w:vAlign w:val="center"/>
          </w:tcPr>
          <w:p w14:paraId="32EC0C6D">
            <w:pPr>
              <w:widowControl/>
              <w:snapToGrid w:val="0"/>
              <w:spacing w:line="360" w:lineRule="auto"/>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序号</w:t>
            </w:r>
          </w:p>
        </w:tc>
        <w:tc>
          <w:tcPr>
            <w:tcW w:w="560" w:type="pct"/>
            <w:tcBorders>
              <w:top w:val="nil"/>
              <w:left w:val="single" w:color="auto" w:sz="8" w:space="0"/>
              <w:bottom w:val="single" w:color="000000" w:sz="8" w:space="0"/>
              <w:right w:val="single" w:color="auto" w:sz="8" w:space="0"/>
            </w:tcBorders>
            <w:noWrap w:val="0"/>
            <w:vAlign w:val="center"/>
          </w:tcPr>
          <w:p w14:paraId="2F6AC2F6">
            <w:pPr>
              <w:widowControl/>
              <w:snapToGrid w:val="0"/>
              <w:spacing w:line="360" w:lineRule="auto"/>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燃料品种</w:t>
            </w:r>
          </w:p>
        </w:tc>
        <w:tc>
          <w:tcPr>
            <w:tcW w:w="685" w:type="pct"/>
            <w:tcBorders>
              <w:top w:val="nil"/>
              <w:left w:val="single" w:color="auto" w:sz="8" w:space="0"/>
              <w:bottom w:val="single" w:color="000000" w:sz="8" w:space="0"/>
              <w:right w:val="single" w:color="auto" w:sz="8" w:space="0"/>
            </w:tcBorders>
            <w:noWrap w:val="0"/>
            <w:vAlign w:val="center"/>
          </w:tcPr>
          <w:p w14:paraId="7B59BBBB">
            <w:pPr>
              <w:widowControl/>
              <w:snapToGrid w:val="0"/>
              <w:spacing w:line="360" w:lineRule="auto"/>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消耗量</w:t>
            </w:r>
          </w:p>
          <w:p w14:paraId="1BE6EDEB">
            <w:pPr>
              <w:widowControl/>
              <w:snapToGrid w:val="0"/>
              <w:spacing w:line="360" w:lineRule="auto"/>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(10</w:t>
            </w:r>
            <w:r>
              <w:rPr>
                <w:rFonts w:hint="default" w:ascii="Times New Roman" w:hAnsi="Times New Roman" w:eastAsia="宋体" w:cs="Times New Roman"/>
                <w:color w:val="000000"/>
                <w:kern w:val="0"/>
                <w:sz w:val="24"/>
                <w:szCs w:val="24"/>
                <w:vertAlign w:val="superscript"/>
              </w:rPr>
              <w:t xml:space="preserve">4 </w:t>
            </w:r>
            <w:r>
              <w:rPr>
                <w:rFonts w:hint="default" w:ascii="Times New Roman" w:hAnsi="Times New Roman" w:eastAsia="宋体" w:cs="Times New Roman"/>
                <w:color w:val="000000"/>
                <w:kern w:val="0"/>
                <w:sz w:val="24"/>
                <w:szCs w:val="24"/>
              </w:rPr>
              <w:t>Nm</w:t>
            </w:r>
            <w:r>
              <w:rPr>
                <w:rFonts w:hint="default" w:ascii="Times New Roman" w:hAnsi="Times New Roman" w:eastAsia="宋体" w:cs="Times New Roman"/>
                <w:color w:val="000000"/>
                <w:kern w:val="0"/>
                <w:sz w:val="24"/>
                <w:szCs w:val="24"/>
                <w:vertAlign w:val="superscript"/>
              </w:rPr>
              <w:t>3</w:t>
            </w:r>
            <w:r>
              <w:rPr>
                <w:rFonts w:hint="default" w:ascii="Times New Roman" w:hAnsi="Times New Roman" w:eastAsia="宋体" w:cs="Times New Roman"/>
                <w:color w:val="000000"/>
                <w:kern w:val="0"/>
                <w:sz w:val="24"/>
                <w:szCs w:val="24"/>
              </w:rPr>
              <w:t>)</w:t>
            </w:r>
          </w:p>
        </w:tc>
        <w:tc>
          <w:tcPr>
            <w:tcW w:w="903" w:type="pct"/>
            <w:tcBorders>
              <w:top w:val="nil"/>
              <w:left w:val="single" w:color="auto" w:sz="8" w:space="0"/>
              <w:bottom w:val="single" w:color="000000" w:sz="8" w:space="0"/>
              <w:right w:val="single" w:color="auto" w:sz="8" w:space="0"/>
            </w:tcBorders>
            <w:noWrap w:val="0"/>
            <w:vAlign w:val="center"/>
          </w:tcPr>
          <w:p w14:paraId="213C1D92">
            <w:pPr>
              <w:widowControl/>
              <w:snapToGrid w:val="0"/>
              <w:spacing w:line="360" w:lineRule="auto"/>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低位发热量</w:t>
            </w:r>
          </w:p>
          <w:p w14:paraId="6F0742DC">
            <w:pPr>
              <w:widowControl/>
              <w:snapToGrid w:val="0"/>
              <w:spacing w:line="360" w:lineRule="auto"/>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(GJ/10</w:t>
            </w:r>
            <w:r>
              <w:rPr>
                <w:rFonts w:hint="default" w:ascii="Times New Roman" w:hAnsi="Times New Roman" w:eastAsia="宋体" w:cs="Times New Roman"/>
                <w:color w:val="000000"/>
                <w:kern w:val="0"/>
                <w:sz w:val="24"/>
                <w:szCs w:val="24"/>
                <w:vertAlign w:val="superscript"/>
              </w:rPr>
              <w:t xml:space="preserve">4 </w:t>
            </w:r>
            <w:r>
              <w:rPr>
                <w:rFonts w:hint="default" w:ascii="Times New Roman" w:hAnsi="Times New Roman" w:eastAsia="宋体" w:cs="Times New Roman"/>
                <w:color w:val="000000"/>
                <w:kern w:val="0"/>
                <w:sz w:val="24"/>
                <w:szCs w:val="24"/>
              </w:rPr>
              <w:t>Nm</w:t>
            </w:r>
            <w:r>
              <w:rPr>
                <w:rFonts w:hint="default" w:ascii="Times New Roman" w:hAnsi="Times New Roman" w:eastAsia="宋体" w:cs="Times New Roman"/>
                <w:color w:val="000000"/>
                <w:kern w:val="0"/>
                <w:sz w:val="24"/>
                <w:szCs w:val="24"/>
                <w:vertAlign w:val="superscript"/>
              </w:rPr>
              <w:t>3</w:t>
            </w:r>
            <w:r>
              <w:rPr>
                <w:rFonts w:hint="default" w:ascii="Times New Roman" w:hAnsi="Times New Roman" w:eastAsia="宋体" w:cs="Times New Roman"/>
                <w:color w:val="000000"/>
                <w:kern w:val="0"/>
                <w:sz w:val="24"/>
                <w:szCs w:val="24"/>
              </w:rPr>
              <w:t>)</w:t>
            </w:r>
          </w:p>
        </w:tc>
        <w:tc>
          <w:tcPr>
            <w:tcW w:w="856" w:type="pct"/>
            <w:tcBorders>
              <w:top w:val="nil"/>
              <w:left w:val="single" w:color="auto" w:sz="8" w:space="0"/>
              <w:bottom w:val="single" w:color="000000" w:sz="8" w:space="0"/>
              <w:right w:val="single" w:color="auto" w:sz="8" w:space="0"/>
            </w:tcBorders>
            <w:noWrap w:val="0"/>
            <w:vAlign w:val="center"/>
          </w:tcPr>
          <w:p w14:paraId="5B55B99B">
            <w:pPr>
              <w:widowControl/>
              <w:snapToGrid w:val="0"/>
              <w:spacing w:line="360" w:lineRule="auto"/>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单位热值含碳量</w:t>
            </w:r>
          </w:p>
          <w:p w14:paraId="7DD1467C">
            <w:pPr>
              <w:widowControl/>
              <w:snapToGrid w:val="0"/>
              <w:spacing w:line="360" w:lineRule="auto"/>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(t C/GJ)</w:t>
            </w:r>
          </w:p>
        </w:tc>
        <w:tc>
          <w:tcPr>
            <w:tcW w:w="772" w:type="pct"/>
            <w:tcBorders>
              <w:top w:val="nil"/>
              <w:left w:val="single" w:color="auto" w:sz="8" w:space="0"/>
              <w:bottom w:val="single" w:color="000000" w:sz="8" w:space="0"/>
              <w:right w:val="single" w:color="auto" w:sz="8" w:space="0"/>
            </w:tcBorders>
            <w:noWrap w:val="0"/>
            <w:vAlign w:val="center"/>
          </w:tcPr>
          <w:p w14:paraId="283A6865">
            <w:pPr>
              <w:widowControl/>
              <w:snapToGrid w:val="0"/>
              <w:spacing w:line="360" w:lineRule="auto"/>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碳氧化率</w:t>
            </w:r>
          </w:p>
          <w:p w14:paraId="41804567">
            <w:pPr>
              <w:widowControl/>
              <w:snapToGrid w:val="0"/>
              <w:spacing w:line="360" w:lineRule="auto"/>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(百分比(%))</w:t>
            </w:r>
          </w:p>
        </w:tc>
        <w:tc>
          <w:tcPr>
            <w:tcW w:w="899" w:type="pct"/>
            <w:tcBorders>
              <w:top w:val="nil"/>
              <w:left w:val="single" w:color="auto" w:sz="8" w:space="0"/>
              <w:bottom w:val="single" w:color="000000" w:sz="8" w:space="0"/>
              <w:right w:val="single" w:color="auto" w:sz="8" w:space="0"/>
            </w:tcBorders>
            <w:noWrap w:val="0"/>
            <w:vAlign w:val="center"/>
          </w:tcPr>
          <w:p w14:paraId="7B38A240">
            <w:pPr>
              <w:widowControl/>
              <w:snapToGrid w:val="0"/>
              <w:spacing w:line="360" w:lineRule="auto"/>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CO</w:t>
            </w:r>
            <w:r>
              <w:rPr>
                <w:rFonts w:hint="default" w:ascii="Times New Roman" w:hAnsi="Times New Roman" w:eastAsia="宋体" w:cs="Times New Roman"/>
                <w:color w:val="000000"/>
                <w:kern w:val="0"/>
                <w:sz w:val="24"/>
                <w:szCs w:val="24"/>
                <w:vertAlign w:val="subscript"/>
              </w:rPr>
              <w:t>2</w:t>
            </w:r>
            <w:r>
              <w:rPr>
                <w:rFonts w:hint="default" w:ascii="Times New Roman" w:hAnsi="Times New Roman" w:eastAsia="宋体" w:cs="Times New Roman"/>
                <w:color w:val="000000"/>
                <w:kern w:val="0"/>
                <w:sz w:val="24"/>
                <w:szCs w:val="24"/>
              </w:rPr>
              <w:t>排放量</w:t>
            </w:r>
          </w:p>
          <w:p w14:paraId="3E2B97B8">
            <w:pPr>
              <w:widowControl/>
              <w:snapToGrid w:val="0"/>
              <w:spacing w:line="360" w:lineRule="auto"/>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（t CO</w:t>
            </w:r>
            <w:r>
              <w:rPr>
                <w:rFonts w:hint="default" w:ascii="Times New Roman" w:hAnsi="Times New Roman" w:eastAsia="宋体" w:cs="Times New Roman"/>
                <w:color w:val="000000"/>
                <w:kern w:val="0"/>
                <w:sz w:val="24"/>
                <w:szCs w:val="24"/>
                <w:vertAlign w:val="subscript"/>
              </w:rPr>
              <w:t>2</w:t>
            </w:r>
            <w:r>
              <w:rPr>
                <w:rFonts w:hint="default" w:ascii="Times New Roman" w:hAnsi="Times New Roman" w:eastAsia="宋体" w:cs="Times New Roman"/>
                <w:color w:val="000000"/>
                <w:kern w:val="0"/>
                <w:sz w:val="24"/>
                <w:szCs w:val="24"/>
              </w:rPr>
              <w:t>）</w:t>
            </w:r>
          </w:p>
        </w:tc>
      </w:tr>
      <w:tr w14:paraId="6DD61FDD">
        <w:tblPrEx>
          <w:tblCellMar>
            <w:top w:w="0" w:type="dxa"/>
            <w:left w:w="108" w:type="dxa"/>
            <w:bottom w:w="0" w:type="dxa"/>
            <w:right w:w="108" w:type="dxa"/>
          </w:tblCellMar>
        </w:tblPrEx>
        <w:trPr>
          <w:trHeight w:val="90" w:hRule="atLeast"/>
        </w:trPr>
        <w:tc>
          <w:tcPr>
            <w:tcW w:w="324" w:type="pct"/>
            <w:tcBorders>
              <w:top w:val="nil"/>
              <w:left w:val="single" w:color="auto" w:sz="8" w:space="0"/>
              <w:bottom w:val="single" w:color="auto" w:sz="8" w:space="0"/>
              <w:right w:val="single" w:color="auto" w:sz="8" w:space="0"/>
            </w:tcBorders>
            <w:noWrap w:val="0"/>
            <w:vAlign w:val="center"/>
          </w:tcPr>
          <w:p w14:paraId="64271837">
            <w:pPr>
              <w:widowControl/>
              <w:snapToGrid w:val="0"/>
              <w:spacing w:line="360" w:lineRule="auto"/>
              <w:ind w:left="0" w:leftChars="0" w:firstLine="0" w:firstLineChars="0"/>
              <w:jc w:val="center"/>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1</w:t>
            </w:r>
          </w:p>
        </w:tc>
        <w:tc>
          <w:tcPr>
            <w:tcW w:w="560" w:type="pct"/>
            <w:tcBorders>
              <w:top w:val="nil"/>
              <w:left w:val="nil"/>
              <w:bottom w:val="single" w:color="auto" w:sz="8" w:space="0"/>
              <w:right w:val="single" w:color="auto" w:sz="8" w:space="0"/>
            </w:tcBorders>
            <w:shd w:val="clear" w:color="auto" w:fill="auto"/>
            <w:noWrap w:val="0"/>
            <w:vAlign w:val="center"/>
          </w:tcPr>
          <w:p w14:paraId="6174994D">
            <w:pPr>
              <w:widowControl/>
              <w:snapToGrid w:val="0"/>
              <w:spacing w:line="360" w:lineRule="auto"/>
              <w:ind w:left="0" w:leftChars="0" w:firstLine="0" w:firstLineChars="0"/>
              <w:jc w:val="center"/>
              <w:rPr>
                <w:rFonts w:hint="default"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柴油</w:t>
            </w:r>
          </w:p>
        </w:tc>
        <w:tc>
          <w:tcPr>
            <w:tcW w:w="685" w:type="pct"/>
            <w:tcBorders>
              <w:top w:val="nil"/>
              <w:left w:val="nil"/>
              <w:bottom w:val="single" w:color="auto" w:sz="8" w:space="0"/>
              <w:right w:val="single" w:color="auto" w:sz="8" w:space="0"/>
            </w:tcBorders>
            <w:shd w:val="clear" w:color="auto" w:fill="auto"/>
            <w:noWrap w:val="0"/>
            <w:vAlign w:val="center"/>
          </w:tcPr>
          <w:p w14:paraId="0BE30311">
            <w:pPr>
              <w:widowControl/>
              <w:snapToGrid w:val="0"/>
              <w:spacing w:line="360" w:lineRule="auto"/>
              <w:ind w:left="0" w:leftChars="0" w:firstLine="0" w:firstLineChars="0"/>
              <w:jc w:val="center"/>
              <w:rPr>
                <w:rFonts w:hint="default"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0.0097</w:t>
            </w:r>
          </w:p>
        </w:tc>
        <w:tc>
          <w:tcPr>
            <w:tcW w:w="903" w:type="pct"/>
            <w:tcBorders>
              <w:top w:val="nil"/>
              <w:left w:val="nil"/>
              <w:bottom w:val="single" w:color="auto" w:sz="8" w:space="0"/>
              <w:right w:val="single" w:color="auto" w:sz="8" w:space="0"/>
            </w:tcBorders>
            <w:shd w:val="clear" w:color="auto" w:fill="auto"/>
            <w:noWrap w:val="0"/>
            <w:vAlign w:val="center"/>
          </w:tcPr>
          <w:p w14:paraId="395176C1">
            <w:pPr>
              <w:widowControl/>
              <w:snapToGrid w:val="0"/>
              <w:spacing w:line="360" w:lineRule="auto"/>
              <w:ind w:left="0" w:leftChars="0" w:firstLine="0" w:firstLineChars="0"/>
              <w:jc w:val="center"/>
              <w:rPr>
                <w:rFonts w:hint="default" w:ascii="Times New Roman" w:hAnsi="Times New Roman" w:cs="Times New Roman"/>
                <w:color w:val="000000"/>
                <w:sz w:val="24"/>
                <w:szCs w:val="24"/>
                <w:lang w:val="en-US" w:eastAsia="zh-CN"/>
              </w:rPr>
            </w:pPr>
            <w:r>
              <w:rPr>
                <w:rFonts w:hint="eastAsia" w:ascii="Times New Roman" w:hAnsi="Times New Roman" w:cs="Times New Roman"/>
                <w:color w:val="000000"/>
                <w:sz w:val="24"/>
                <w:szCs w:val="24"/>
                <w:lang w:val="en-US" w:eastAsia="zh-CN"/>
              </w:rPr>
              <w:t>43.33</w:t>
            </w:r>
          </w:p>
        </w:tc>
        <w:tc>
          <w:tcPr>
            <w:tcW w:w="856" w:type="pct"/>
            <w:tcBorders>
              <w:top w:val="nil"/>
              <w:left w:val="nil"/>
              <w:bottom w:val="single" w:color="auto" w:sz="8" w:space="0"/>
              <w:right w:val="single" w:color="auto" w:sz="8" w:space="0"/>
            </w:tcBorders>
            <w:shd w:val="clear" w:color="auto" w:fill="auto"/>
            <w:noWrap w:val="0"/>
            <w:vAlign w:val="center"/>
          </w:tcPr>
          <w:p w14:paraId="1EA9C8C0">
            <w:pPr>
              <w:widowControl/>
              <w:snapToGrid w:val="0"/>
              <w:spacing w:line="360" w:lineRule="auto"/>
              <w:ind w:left="0" w:leftChars="0" w:firstLine="0" w:firstLineChars="0"/>
              <w:jc w:val="center"/>
              <w:rPr>
                <w:rFonts w:hint="default" w:ascii="Times New Roman" w:hAnsi="Times New Roman" w:cs="Times New Roman"/>
                <w:color w:val="000000"/>
                <w:sz w:val="24"/>
                <w:szCs w:val="24"/>
                <w:lang w:val="en-US" w:eastAsia="zh-CN"/>
              </w:rPr>
            </w:pPr>
            <w:r>
              <w:rPr>
                <w:rFonts w:hint="eastAsia" w:ascii="Times New Roman" w:hAnsi="Times New Roman" w:cs="Times New Roman"/>
                <w:color w:val="000000"/>
                <w:sz w:val="24"/>
                <w:szCs w:val="24"/>
                <w:lang w:val="en-US" w:eastAsia="zh-CN"/>
              </w:rPr>
              <w:t>20.20×10</w:t>
            </w:r>
            <w:r>
              <w:rPr>
                <w:rFonts w:hint="eastAsia" w:ascii="Times New Roman" w:hAnsi="Times New Roman" w:cs="Times New Roman"/>
                <w:color w:val="000000"/>
                <w:sz w:val="24"/>
                <w:szCs w:val="24"/>
                <w:vertAlign w:val="superscript"/>
                <w:lang w:val="en-US" w:eastAsia="zh-CN"/>
              </w:rPr>
              <w:t>-3</w:t>
            </w:r>
          </w:p>
        </w:tc>
        <w:tc>
          <w:tcPr>
            <w:tcW w:w="772" w:type="pct"/>
            <w:tcBorders>
              <w:top w:val="nil"/>
              <w:left w:val="nil"/>
              <w:bottom w:val="single" w:color="auto" w:sz="8" w:space="0"/>
              <w:right w:val="single" w:color="auto" w:sz="8" w:space="0"/>
            </w:tcBorders>
            <w:shd w:val="clear" w:color="auto" w:fill="auto"/>
            <w:noWrap w:val="0"/>
            <w:vAlign w:val="center"/>
          </w:tcPr>
          <w:p w14:paraId="0DD72081">
            <w:pPr>
              <w:widowControl/>
              <w:snapToGrid w:val="0"/>
              <w:spacing w:line="360" w:lineRule="auto"/>
              <w:ind w:left="0" w:leftChars="0" w:firstLine="0" w:firstLineChars="0"/>
              <w:jc w:val="center"/>
              <w:rPr>
                <w:rFonts w:hint="default" w:ascii="Times New Roman" w:hAnsi="Times New Roman" w:cs="Times New Roman"/>
                <w:color w:val="000000"/>
                <w:sz w:val="24"/>
                <w:szCs w:val="24"/>
                <w:lang w:val="en-US" w:eastAsia="zh-CN"/>
              </w:rPr>
            </w:pPr>
            <w:r>
              <w:rPr>
                <w:rFonts w:hint="eastAsia" w:ascii="Times New Roman" w:hAnsi="Times New Roman" w:cs="Times New Roman"/>
                <w:color w:val="000000"/>
                <w:sz w:val="24"/>
                <w:szCs w:val="24"/>
                <w:lang w:val="en-US" w:eastAsia="zh-CN"/>
              </w:rPr>
              <w:t>98</w:t>
            </w:r>
          </w:p>
        </w:tc>
        <w:tc>
          <w:tcPr>
            <w:tcW w:w="899" w:type="pct"/>
            <w:tcBorders>
              <w:top w:val="nil"/>
              <w:left w:val="nil"/>
              <w:bottom w:val="single" w:color="auto" w:sz="8" w:space="0"/>
              <w:right w:val="single" w:color="auto" w:sz="8" w:space="0"/>
            </w:tcBorders>
            <w:shd w:val="clear" w:color="auto" w:fill="auto"/>
            <w:noWrap w:val="0"/>
            <w:vAlign w:val="center"/>
          </w:tcPr>
          <w:p w14:paraId="5A0A09CE">
            <w:pPr>
              <w:widowControl/>
              <w:snapToGrid w:val="0"/>
              <w:spacing w:line="360" w:lineRule="auto"/>
              <w:ind w:left="0" w:leftChars="0" w:firstLine="0" w:firstLineChars="0"/>
              <w:jc w:val="center"/>
              <w:rPr>
                <w:rFonts w:hint="default" w:ascii="Times New Roman" w:hAnsi="Times New Roman" w:cs="Times New Roman"/>
                <w:color w:val="000000"/>
                <w:sz w:val="24"/>
                <w:szCs w:val="24"/>
                <w:lang w:val="en-US" w:eastAsia="zh-CN"/>
              </w:rPr>
            </w:pPr>
            <w:r>
              <w:rPr>
                <w:rFonts w:hint="eastAsia" w:ascii="Times New Roman" w:hAnsi="Times New Roman" w:cs="Times New Roman"/>
                <w:color w:val="000000"/>
                <w:sz w:val="24"/>
                <w:szCs w:val="24"/>
                <w:lang w:val="en-US" w:eastAsia="zh-CN"/>
              </w:rPr>
              <w:t>0.0305</w:t>
            </w:r>
          </w:p>
        </w:tc>
      </w:tr>
      <w:tr w14:paraId="0708D330">
        <w:tblPrEx>
          <w:tblCellMar>
            <w:top w:w="0" w:type="dxa"/>
            <w:left w:w="108" w:type="dxa"/>
            <w:bottom w:w="0" w:type="dxa"/>
            <w:right w:w="108" w:type="dxa"/>
          </w:tblCellMar>
        </w:tblPrEx>
        <w:trPr>
          <w:trHeight w:val="90" w:hRule="atLeast"/>
        </w:trPr>
        <w:tc>
          <w:tcPr>
            <w:tcW w:w="324" w:type="pct"/>
            <w:tcBorders>
              <w:top w:val="nil"/>
              <w:left w:val="single" w:color="auto" w:sz="8" w:space="0"/>
              <w:bottom w:val="single" w:color="auto" w:sz="8" w:space="0"/>
              <w:right w:val="single" w:color="auto" w:sz="8" w:space="0"/>
            </w:tcBorders>
            <w:noWrap w:val="0"/>
            <w:vAlign w:val="center"/>
          </w:tcPr>
          <w:p w14:paraId="03D6E986">
            <w:pPr>
              <w:widowControl/>
              <w:snapToGrid w:val="0"/>
              <w:spacing w:line="360" w:lineRule="auto"/>
              <w:ind w:left="0" w:leftChars="0" w:firstLine="0" w:firstLineChars="0"/>
              <w:jc w:val="center"/>
              <w:rPr>
                <w:rFonts w:hint="default" w:ascii="Times New Roman" w:hAnsi="Times New Roman" w:cs="Times New Roman"/>
                <w:color w:val="000000"/>
                <w:sz w:val="24"/>
                <w:szCs w:val="24"/>
                <w:lang w:val="en-US" w:eastAsia="zh-CN"/>
              </w:rPr>
            </w:pPr>
            <w:r>
              <w:rPr>
                <w:rFonts w:hint="eastAsia" w:ascii="Times New Roman" w:hAnsi="Times New Roman" w:cs="Times New Roman"/>
                <w:color w:val="000000"/>
                <w:sz w:val="24"/>
                <w:szCs w:val="24"/>
                <w:lang w:val="en-US" w:eastAsia="zh-CN"/>
              </w:rPr>
              <w:t>2</w:t>
            </w:r>
          </w:p>
        </w:tc>
        <w:tc>
          <w:tcPr>
            <w:tcW w:w="560" w:type="pct"/>
            <w:tcBorders>
              <w:top w:val="nil"/>
              <w:left w:val="nil"/>
              <w:bottom w:val="single" w:color="auto" w:sz="8" w:space="0"/>
              <w:right w:val="single" w:color="auto" w:sz="8" w:space="0"/>
            </w:tcBorders>
            <w:shd w:val="clear" w:color="auto" w:fill="auto"/>
            <w:noWrap w:val="0"/>
            <w:vAlign w:val="center"/>
          </w:tcPr>
          <w:p w14:paraId="7FFFCC95">
            <w:pPr>
              <w:widowControl/>
              <w:snapToGrid w:val="0"/>
              <w:spacing w:line="360" w:lineRule="auto"/>
              <w:ind w:left="0" w:leftChars="0" w:firstLine="0" w:firstLineChars="0"/>
              <w:jc w:val="center"/>
              <w:rPr>
                <w:rFonts w:hint="default"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天然气</w:t>
            </w:r>
          </w:p>
        </w:tc>
        <w:tc>
          <w:tcPr>
            <w:tcW w:w="685" w:type="pct"/>
            <w:tcBorders>
              <w:top w:val="nil"/>
              <w:left w:val="nil"/>
              <w:bottom w:val="single" w:color="auto" w:sz="8" w:space="0"/>
              <w:right w:val="single" w:color="auto" w:sz="8" w:space="0"/>
            </w:tcBorders>
            <w:shd w:val="clear" w:color="auto" w:fill="auto"/>
            <w:noWrap w:val="0"/>
            <w:vAlign w:val="center"/>
          </w:tcPr>
          <w:p w14:paraId="50BB3FD3">
            <w:pPr>
              <w:widowControl/>
              <w:snapToGrid w:val="0"/>
              <w:spacing w:line="360" w:lineRule="auto"/>
              <w:ind w:left="0" w:leftChars="0" w:firstLine="0" w:firstLineChars="0"/>
              <w:jc w:val="center"/>
              <w:rPr>
                <w:rFonts w:hint="default"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0.69</w:t>
            </w:r>
          </w:p>
        </w:tc>
        <w:tc>
          <w:tcPr>
            <w:tcW w:w="903" w:type="pct"/>
            <w:tcBorders>
              <w:top w:val="nil"/>
              <w:left w:val="nil"/>
              <w:bottom w:val="single" w:color="auto" w:sz="8" w:space="0"/>
              <w:right w:val="single" w:color="auto" w:sz="8" w:space="0"/>
            </w:tcBorders>
            <w:shd w:val="clear" w:color="auto" w:fill="auto"/>
            <w:noWrap w:val="0"/>
            <w:vAlign w:val="center"/>
          </w:tcPr>
          <w:p w14:paraId="6F0C7C83">
            <w:pPr>
              <w:widowControl/>
              <w:snapToGrid w:val="0"/>
              <w:spacing w:line="360" w:lineRule="auto"/>
              <w:ind w:left="0" w:leftChars="0" w:firstLine="0" w:firstLineChars="0"/>
              <w:jc w:val="center"/>
              <w:rPr>
                <w:rFonts w:hint="default" w:ascii="Times New Roman" w:hAnsi="Times New Roman" w:cs="Times New Roman"/>
                <w:color w:val="000000"/>
                <w:sz w:val="24"/>
                <w:szCs w:val="24"/>
                <w:lang w:val="en-US" w:eastAsia="zh-CN"/>
              </w:rPr>
            </w:pPr>
            <w:r>
              <w:rPr>
                <w:rFonts w:hint="eastAsia" w:ascii="Times New Roman" w:hAnsi="Times New Roman" w:cs="Times New Roman"/>
                <w:color w:val="000000"/>
                <w:sz w:val="24"/>
                <w:szCs w:val="24"/>
                <w:lang w:val="en-US" w:eastAsia="zh-CN"/>
              </w:rPr>
              <w:t>389.31</w:t>
            </w:r>
          </w:p>
        </w:tc>
        <w:tc>
          <w:tcPr>
            <w:tcW w:w="856" w:type="pct"/>
            <w:tcBorders>
              <w:top w:val="nil"/>
              <w:left w:val="nil"/>
              <w:bottom w:val="single" w:color="auto" w:sz="8" w:space="0"/>
              <w:right w:val="single" w:color="auto" w:sz="8" w:space="0"/>
            </w:tcBorders>
            <w:shd w:val="clear" w:color="auto" w:fill="auto"/>
            <w:noWrap w:val="0"/>
            <w:vAlign w:val="center"/>
          </w:tcPr>
          <w:p w14:paraId="4AB0ED71">
            <w:pPr>
              <w:widowControl/>
              <w:snapToGrid w:val="0"/>
              <w:spacing w:line="360" w:lineRule="auto"/>
              <w:ind w:left="0" w:leftChars="0" w:firstLine="0" w:firstLineChars="0"/>
              <w:jc w:val="center"/>
              <w:rPr>
                <w:rFonts w:hint="default" w:ascii="Times New Roman" w:hAnsi="Times New Roman" w:cs="Times New Roman"/>
                <w:color w:val="000000"/>
                <w:sz w:val="24"/>
                <w:szCs w:val="24"/>
                <w:lang w:val="en-US" w:eastAsia="zh-CN"/>
              </w:rPr>
            </w:pPr>
            <w:r>
              <w:rPr>
                <w:rFonts w:hint="eastAsia" w:ascii="Times New Roman" w:hAnsi="Times New Roman" w:cs="Times New Roman"/>
                <w:color w:val="000000"/>
                <w:sz w:val="24"/>
                <w:szCs w:val="24"/>
                <w:lang w:val="en-US" w:eastAsia="zh-CN"/>
              </w:rPr>
              <w:t>15.30×10</w:t>
            </w:r>
            <w:r>
              <w:rPr>
                <w:rFonts w:hint="eastAsia" w:ascii="Times New Roman" w:hAnsi="Times New Roman" w:cs="Times New Roman"/>
                <w:color w:val="000000"/>
                <w:sz w:val="24"/>
                <w:szCs w:val="24"/>
                <w:vertAlign w:val="superscript"/>
                <w:lang w:val="en-US" w:eastAsia="zh-CN"/>
              </w:rPr>
              <w:t>-3</w:t>
            </w:r>
          </w:p>
        </w:tc>
        <w:tc>
          <w:tcPr>
            <w:tcW w:w="772" w:type="pct"/>
            <w:tcBorders>
              <w:top w:val="nil"/>
              <w:left w:val="nil"/>
              <w:bottom w:val="single" w:color="auto" w:sz="8" w:space="0"/>
              <w:right w:val="single" w:color="auto" w:sz="8" w:space="0"/>
            </w:tcBorders>
            <w:shd w:val="clear" w:color="auto" w:fill="auto"/>
            <w:noWrap w:val="0"/>
            <w:vAlign w:val="center"/>
          </w:tcPr>
          <w:p w14:paraId="3D2CF7AF">
            <w:pPr>
              <w:widowControl/>
              <w:snapToGrid w:val="0"/>
              <w:spacing w:line="360" w:lineRule="auto"/>
              <w:ind w:left="0" w:leftChars="0" w:firstLine="0" w:firstLineChars="0"/>
              <w:jc w:val="center"/>
              <w:rPr>
                <w:rFonts w:hint="default" w:ascii="Times New Roman" w:hAnsi="Times New Roman" w:cs="Times New Roman"/>
                <w:color w:val="000000"/>
                <w:sz w:val="24"/>
                <w:szCs w:val="24"/>
                <w:lang w:val="en-US" w:eastAsia="zh-CN"/>
              </w:rPr>
            </w:pPr>
            <w:r>
              <w:rPr>
                <w:rFonts w:hint="eastAsia" w:ascii="Times New Roman" w:hAnsi="Times New Roman" w:cs="Times New Roman"/>
                <w:color w:val="000000"/>
                <w:sz w:val="24"/>
                <w:szCs w:val="24"/>
                <w:lang w:val="en-US" w:eastAsia="zh-CN"/>
              </w:rPr>
              <w:t>99</w:t>
            </w:r>
          </w:p>
        </w:tc>
        <w:tc>
          <w:tcPr>
            <w:tcW w:w="899" w:type="pct"/>
            <w:tcBorders>
              <w:top w:val="nil"/>
              <w:left w:val="nil"/>
              <w:bottom w:val="single" w:color="auto" w:sz="8" w:space="0"/>
              <w:right w:val="single" w:color="auto" w:sz="8" w:space="0"/>
            </w:tcBorders>
            <w:shd w:val="clear" w:color="auto" w:fill="auto"/>
            <w:noWrap w:val="0"/>
            <w:vAlign w:val="center"/>
          </w:tcPr>
          <w:p w14:paraId="2E4AAE57">
            <w:pPr>
              <w:widowControl/>
              <w:snapToGrid w:val="0"/>
              <w:spacing w:line="360" w:lineRule="auto"/>
              <w:ind w:left="0" w:leftChars="0" w:firstLine="0" w:firstLineChars="0"/>
              <w:jc w:val="center"/>
              <w:rPr>
                <w:rFonts w:hint="default" w:ascii="Times New Roman" w:hAnsi="Times New Roman" w:cs="Times New Roman"/>
                <w:color w:val="000000"/>
                <w:sz w:val="24"/>
                <w:szCs w:val="24"/>
                <w:lang w:val="en-US" w:eastAsia="zh-CN"/>
              </w:rPr>
            </w:pPr>
            <w:r>
              <w:rPr>
                <w:rFonts w:hint="eastAsia" w:ascii="Times New Roman" w:hAnsi="Times New Roman" w:cs="Times New Roman"/>
                <w:color w:val="000000"/>
                <w:sz w:val="24"/>
                <w:szCs w:val="24"/>
                <w:lang w:val="en-US" w:eastAsia="zh-CN"/>
              </w:rPr>
              <w:t>14.9191</w:t>
            </w:r>
          </w:p>
        </w:tc>
      </w:tr>
      <w:tr w14:paraId="3016A3F9">
        <w:tblPrEx>
          <w:tblCellMar>
            <w:top w:w="0" w:type="dxa"/>
            <w:left w:w="108" w:type="dxa"/>
            <w:bottom w:w="0" w:type="dxa"/>
            <w:right w:w="108" w:type="dxa"/>
          </w:tblCellMar>
        </w:tblPrEx>
        <w:trPr>
          <w:trHeight w:val="330" w:hRule="atLeast"/>
        </w:trPr>
        <w:tc>
          <w:tcPr>
            <w:tcW w:w="4100" w:type="pct"/>
            <w:gridSpan w:val="6"/>
            <w:tcBorders>
              <w:top w:val="single" w:color="auto" w:sz="8" w:space="0"/>
              <w:left w:val="single" w:color="auto" w:sz="8" w:space="0"/>
              <w:bottom w:val="single" w:color="auto" w:sz="8" w:space="0"/>
              <w:right w:val="single" w:color="000000" w:sz="8" w:space="0"/>
            </w:tcBorders>
            <w:noWrap w:val="0"/>
            <w:vAlign w:val="center"/>
          </w:tcPr>
          <w:p w14:paraId="75A99B28">
            <w:pPr>
              <w:widowControl/>
              <w:snapToGrid w:val="0"/>
              <w:spacing w:line="360" w:lineRule="auto"/>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合计</w:t>
            </w:r>
          </w:p>
        </w:tc>
        <w:tc>
          <w:tcPr>
            <w:tcW w:w="899" w:type="pct"/>
            <w:tcBorders>
              <w:top w:val="nil"/>
              <w:left w:val="nil"/>
              <w:bottom w:val="single" w:color="auto" w:sz="8" w:space="0"/>
              <w:right w:val="single" w:color="auto" w:sz="8" w:space="0"/>
            </w:tcBorders>
            <w:noWrap w:val="0"/>
            <w:vAlign w:val="center"/>
          </w:tcPr>
          <w:p w14:paraId="49ACF64E">
            <w:pPr>
              <w:widowControl/>
              <w:snapToGrid w:val="0"/>
              <w:spacing w:line="360" w:lineRule="auto"/>
              <w:ind w:left="0" w:leftChars="0" w:firstLine="0" w:firstLineChars="0"/>
              <w:jc w:val="center"/>
              <w:rPr>
                <w:rFonts w:hint="default"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14.9496</w:t>
            </w:r>
          </w:p>
        </w:tc>
      </w:tr>
    </w:tbl>
    <w:p w14:paraId="44252E8B">
      <w:pPr>
        <w:spacing w:before="156" w:beforeLines="50" w:after="156" w:afterLines="50"/>
        <w:jc w:val="center"/>
        <w:rPr>
          <w:rFonts w:hint="default" w:ascii="Times New Roman" w:hAnsi="Times New Roman" w:eastAsia="宋体" w:cs="Times New Roman"/>
          <w:sz w:val="24"/>
          <w:szCs w:val="24"/>
        </w:rPr>
      </w:pPr>
    </w:p>
    <w:p w14:paraId="4A82739C">
      <w:pPr>
        <w:pStyle w:val="27"/>
        <w:bidi w:val="0"/>
        <w:rPr>
          <w:rFonts w:hint="default" w:ascii="Times New Roman" w:hAnsi="Times New Roman"/>
        </w:rPr>
      </w:pPr>
      <w:r>
        <w:rPr>
          <w:rFonts w:hint="default" w:ascii="Times New Roman" w:hAnsi="Times New Roman"/>
        </w:rPr>
        <w:t>表3-</w:t>
      </w:r>
      <w:r>
        <w:rPr>
          <w:rFonts w:hint="default" w:ascii="Times New Roman" w:hAnsi="Times New Roman"/>
          <w:lang w:val="en-US" w:eastAsia="zh-CN"/>
        </w:rPr>
        <w:t>2</w:t>
      </w:r>
      <w:r>
        <w:rPr>
          <w:rFonts w:hint="default" w:ascii="Times New Roman" w:hAnsi="Times New Roman"/>
        </w:rPr>
        <w:t xml:space="preserve">  净购入电力引起的消费排放数据表</w:t>
      </w:r>
    </w:p>
    <w:tbl>
      <w:tblPr>
        <w:tblStyle w:val="11"/>
        <w:tblW w:w="5000" w:type="pct"/>
        <w:tblInd w:w="0" w:type="dxa"/>
        <w:tblLayout w:type="autofit"/>
        <w:tblCellMar>
          <w:top w:w="0" w:type="dxa"/>
          <w:left w:w="108" w:type="dxa"/>
          <w:bottom w:w="0" w:type="dxa"/>
          <w:right w:w="108" w:type="dxa"/>
        </w:tblCellMar>
      </w:tblPr>
      <w:tblGrid>
        <w:gridCol w:w="2897"/>
        <w:gridCol w:w="2183"/>
        <w:gridCol w:w="1936"/>
        <w:gridCol w:w="1695"/>
        <w:gridCol w:w="2906"/>
        <w:gridCol w:w="2557"/>
      </w:tblGrid>
      <w:tr w14:paraId="6FC22B14">
        <w:tblPrEx>
          <w:tblCellMar>
            <w:top w:w="0" w:type="dxa"/>
            <w:left w:w="108" w:type="dxa"/>
            <w:bottom w:w="0" w:type="dxa"/>
            <w:right w:w="108" w:type="dxa"/>
          </w:tblCellMar>
        </w:tblPrEx>
        <w:trPr>
          <w:trHeight w:val="270" w:hRule="atLeast"/>
        </w:trPr>
        <w:tc>
          <w:tcPr>
            <w:tcW w:w="4098" w:type="pct"/>
            <w:gridSpan w:val="5"/>
            <w:tcBorders>
              <w:top w:val="single" w:color="auto" w:sz="4" w:space="0"/>
              <w:left w:val="single" w:color="auto" w:sz="4" w:space="0"/>
              <w:bottom w:val="single" w:color="auto" w:sz="4" w:space="0"/>
              <w:right w:val="nil"/>
            </w:tcBorders>
            <w:noWrap w:val="0"/>
            <w:vAlign w:val="center"/>
          </w:tcPr>
          <w:p w14:paraId="2B74A6DC">
            <w:pPr>
              <w:widowControl/>
              <w:spacing w:line="360" w:lineRule="auto"/>
              <w:ind w:left="0" w:leftChars="0" w:firstLine="0" w:firstLineChars="0"/>
              <w:jc w:val="left"/>
              <w:rPr>
                <w:rFonts w:hint="default" w:ascii="Times New Roman" w:hAnsi="Times New Roman" w:eastAsia="宋体" w:cs="Times New Roman"/>
                <w:color w:val="000000"/>
                <w:kern w:val="0"/>
                <w:sz w:val="24"/>
                <w:szCs w:val="24"/>
                <w:lang w:eastAsia="zh-CN"/>
              </w:rPr>
            </w:pPr>
            <w:r>
              <w:rPr>
                <w:rFonts w:hint="default" w:ascii="Times New Roman" w:hAnsi="Times New Roman" w:eastAsia="宋体" w:cs="Times New Roman"/>
                <w:color w:val="000000"/>
                <w:kern w:val="0"/>
                <w:sz w:val="24"/>
                <w:szCs w:val="24"/>
              </w:rPr>
              <w:t>报告主体名称：</w:t>
            </w:r>
            <w:r>
              <w:rPr>
                <w:rFonts w:hint="eastAsia" w:ascii="Times New Roman" w:hAnsi="Times New Roman" w:eastAsia="宋体" w:cs="Times New Roman"/>
                <w:color w:val="000000"/>
                <w:kern w:val="0"/>
                <w:sz w:val="24"/>
                <w:szCs w:val="24"/>
                <w:lang w:eastAsia="zh-CN"/>
              </w:rPr>
              <w:t>安徽汉马发动机</w:t>
            </w:r>
            <w:r>
              <w:rPr>
                <w:rFonts w:hint="default" w:ascii="Times New Roman" w:hAnsi="Times New Roman" w:eastAsia="宋体" w:cs="Times New Roman"/>
                <w:color w:val="000000"/>
                <w:kern w:val="0"/>
                <w:sz w:val="24"/>
                <w:szCs w:val="24"/>
                <w:lang w:eastAsia="zh-CN"/>
              </w:rPr>
              <w:t>有限公司</w:t>
            </w:r>
          </w:p>
        </w:tc>
        <w:tc>
          <w:tcPr>
            <w:tcW w:w="902" w:type="pct"/>
            <w:tcBorders>
              <w:top w:val="single" w:color="auto" w:sz="4" w:space="0"/>
              <w:left w:val="single" w:color="auto" w:sz="4" w:space="0"/>
              <w:bottom w:val="single" w:color="auto" w:sz="4" w:space="0"/>
              <w:right w:val="single" w:color="auto" w:sz="4" w:space="0"/>
            </w:tcBorders>
            <w:noWrap w:val="0"/>
            <w:vAlign w:val="center"/>
          </w:tcPr>
          <w:p w14:paraId="76B2D689">
            <w:pPr>
              <w:widowControl/>
              <w:spacing w:line="360" w:lineRule="auto"/>
              <w:ind w:left="0" w:leftChars="0" w:firstLine="0" w:firstLineChars="0"/>
              <w:jc w:val="center"/>
              <w:rPr>
                <w:rFonts w:hint="eastAsia" w:ascii="Times New Roman" w:hAnsi="Times New Roman" w:eastAsia="宋体" w:cs="Times New Roman"/>
                <w:color w:val="000000"/>
                <w:kern w:val="0"/>
                <w:sz w:val="24"/>
                <w:szCs w:val="24"/>
                <w:lang w:val="en-US" w:eastAsia="zh-CN"/>
              </w:rPr>
            </w:pPr>
            <w:r>
              <w:rPr>
                <w:rFonts w:hint="default" w:ascii="Times New Roman" w:hAnsi="Times New Roman" w:eastAsia="宋体" w:cs="Times New Roman"/>
                <w:color w:val="000000"/>
                <w:kern w:val="0"/>
                <w:sz w:val="24"/>
                <w:szCs w:val="24"/>
              </w:rPr>
              <w:t>年度：202</w:t>
            </w:r>
            <w:r>
              <w:rPr>
                <w:rFonts w:hint="eastAsia" w:ascii="Times New Roman" w:hAnsi="Times New Roman" w:eastAsia="宋体" w:cs="Times New Roman"/>
                <w:color w:val="000000"/>
                <w:kern w:val="0"/>
                <w:sz w:val="24"/>
                <w:szCs w:val="24"/>
                <w:lang w:val="en-US" w:eastAsia="zh-CN"/>
              </w:rPr>
              <w:t>4</w:t>
            </w:r>
          </w:p>
        </w:tc>
      </w:tr>
      <w:tr w14:paraId="61AD0CAA">
        <w:tblPrEx>
          <w:tblCellMar>
            <w:top w:w="0" w:type="dxa"/>
            <w:left w:w="108" w:type="dxa"/>
            <w:bottom w:w="0" w:type="dxa"/>
            <w:right w:w="108" w:type="dxa"/>
          </w:tblCellMar>
        </w:tblPrEx>
        <w:trPr>
          <w:trHeight w:val="270" w:hRule="atLeast"/>
        </w:trPr>
        <w:tc>
          <w:tcPr>
            <w:tcW w:w="1022" w:type="pct"/>
            <w:vMerge w:val="restart"/>
            <w:tcBorders>
              <w:top w:val="nil"/>
              <w:left w:val="single" w:color="auto" w:sz="4" w:space="0"/>
              <w:right w:val="single" w:color="auto" w:sz="4" w:space="0"/>
            </w:tcBorders>
            <w:noWrap w:val="0"/>
            <w:vAlign w:val="center"/>
          </w:tcPr>
          <w:p w14:paraId="5E896E15">
            <w:pPr>
              <w:widowControl/>
              <w:spacing w:line="360" w:lineRule="auto"/>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类型</w:t>
            </w:r>
          </w:p>
        </w:tc>
        <w:tc>
          <w:tcPr>
            <w:tcW w:w="2051" w:type="pct"/>
            <w:gridSpan w:val="3"/>
            <w:tcBorders>
              <w:top w:val="single" w:color="auto" w:sz="4" w:space="0"/>
              <w:left w:val="nil"/>
              <w:bottom w:val="single" w:color="auto" w:sz="4" w:space="0"/>
              <w:right w:val="nil"/>
            </w:tcBorders>
            <w:noWrap w:val="0"/>
            <w:vAlign w:val="center"/>
          </w:tcPr>
          <w:p w14:paraId="5376EDDE">
            <w:pPr>
              <w:widowControl/>
              <w:spacing w:line="360" w:lineRule="auto"/>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净购入量</w:t>
            </w:r>
          </w:p>
        </w:tc>
        <w:tc>
          <w:tcPr>
            <w:tcW w:w="1025" w:type="pct"/>
            <w:vMerge w:val="restart"/>
            <w:tcBorders>
              <w:top w:val="nil"/>
              <w:left w:val="single" w:color="auto" w:sz="4" w:space="0"/>
              <w:right w:val="single" w:color="auto" w:sz="4" w:space="0"/>
            </w:tcBorders>
            <w:noWrap w:val="0"/>
            <w:vAlign w:val="center"/>
          </w:tcPr>
          <w:p w14:paraId="5EDA194A">
            <w:pPr>
              <w:widowControl/>
              <w:spacing w:line="360" w:lineRule="auto"/>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CO</w:t>
            </w:r>
            <w:r>
              <w:rPr>
                <w:rFonts w:hint="default" w:ascii="Times New Roman" w:hAnsi="Times New Roman" w:eastAsia="宋体" w:cs="Times New Roman"/>
                <w:color w:val="000000"/>
                <w:kern w:val="0"/>
                <w:sz w:val="24"/>
                <w:szCs w:val="24"/>
                <w:vertAlign w:val="subscript"/>
              </w:rPr>
              <w:t>2</w:t>
            </w:r>
            <w:r>
              <w:rPr>
                <w:rFonts w:hint="default" w:ascii="Times New Roman" w:hAnsi="Times New Roman" w:eastAsia="宋体" w:cs="Times New Roman"/>
                <w:color w:val="000000"/>
                <w:kern w:val="0"/>
                <w:sz w:val="24"/>
                <w:szCs w:val="24"/>
              </w:rPr>
              <w:t>排放因子</w:t>
            </w:r>
          </w:p>
          <w:p w14:paraId="30E918E1">
            <w:pPr>
              <w:widowControl/>
              <w:spacing w:line="360" w:lineRule="auto"/>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(t CO2/MWh)</w:t>
            </w:r>
          </w:p>
        </w:tc>
        <w:tc>
          <w:tcPr>
            <w:tcW w:w="902" w:type="pct"/>
            <w:vMerge w:val="restart"/>
            <w:tcBorders>
              <w:top w:val="nil"/>
              <w:left w:val="single" w:color="auto" w:sz="4" w:space="0"/>
              <w:right w:val="single" w:color="auto" w:sz="4" w:space="0"/>
            </w:tcBorders>
            <w:noWrap w:val="0"/>
            <w:vAlign w:val="center"/>
          </w:tcPr>
          <w:p w14:paraId="0BC3AED5">
            <w:pPr>
              <w:widowControl/>
              <w:spacing w:line="360" w:lineRule="auto"/>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CO</w:t>
            </w:r>
            <w:r>
              <w:rPr>
                <w:rFonts w:hint="default" w:ascii="Times New Roman" w:hAnsi="Times New Roman" w:eastAsia="宋体" w:cs="Times New Roman"/>
                <w:color w:val="000000"/>
                <w:kern w:val="0"/>
                <w:sz w:val="24"/>
                <w:szCs w:val="24"/>
                <w:vertAlign w:val="subscript"/>
              </w:rPr>
              <w:t>2</w:t>
            </w:r>
            <w:r>
              <w:rPr>
                <w:rFonts w:hint="default" w:ascii="Times New Roman" w:hAnsi="Times New Roman" w:eastAsia="宋体" w:cs="Times New Roman"/>
                <w:color w:val="000000"/>
                <w:kern w:val="0"/>
                <w:sz w:val="24"/>
                <w:szCs w:val="24"/>
              </w:rPr>
              <w:t>排放量</w:t>
            </w:r>
          </w:p>
          <w:p w14:paraId="62B4FE7D">
            <w:pPr>
              <w:widowControl/>
              <w:spacing w:line="360" w:lineRule="auto"/>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（t CO</w:t>
            </w:r>
            <w:r>
              <w:rPr>
                <w:rFonts w:hint="default" w:ascii="Times New Roman" w:hAnsi="Times New Roman" w:eastAsia="宋体" w:cs="Times New Roman"/>
                <w:color w:val="000000"/>
                <w:kern w:val="0"/>
                <w:sz w:val="24"/>
                <w:szCs w:val="24"/>
                <w:vertAlign w:val="subscript"/>
              </w:rPr>
              <w:t>2</w:t>
            </w:r>
            <w:r>
              <w:rPr>
                <w:rFonts w:hint="default" w:ascii="Times New Roman" w:hAnsi="Times New Roman" w:eastAsia="宋体" w:cs="Times New Roman"/>
                <w:color w:val="000000"/>
                <w:kern w:val="0"/>
                <w:sz w:val="24"/>
                <w:szCs w:val="24"/>
              </w:rPr>
              <w:t>）</w:t>
            </w:r>
          </w:p>
        </w:tc>
      </w:tr>
      <w:tr w14:paraId="3D2EC5B3">
        <w:tblPrEx>
          <w:tblCellMar>
            <w:top w:w="0" w:type="dxa"/>
            <w:left w:w="108" w:type="dxa"/>
            <w:bottom w:w="0" w:type="dxa"/>
            <w:right w:w="108" w:type="dxa"/>
          </w:tblCellMar>
        </w:tblPrEx>
        <w:trPr>
          <w:trHeight w:val="270" w:hRule="atLeast"/>
        </w:trPr>
        <w:tc>
          <w:tcPr>
            <w:tcW w:w="1022" w:type="pct"/>
            <w:vMerge w:val="continue"/>
            <w:tcBorders>
              <w:left w:val="single" w:color="auto" w:sz="4" w:space="0"/>
              <w:bottom w:val="single" w:color="auto" w:sz="4" w:space="0"/>
              <w:right w:val="single" w:color="auto" w:sz="4" w:space="0"/>
            </w:tcBorders>
            <w:noWrap w:val="0"/>
            <w:vAlign w:val="center"/>
          </w:tcPr>
          <w:p w14:paraId="31B02799">
            <w:pPr>
              <w:widowControl/>
              <w:spacing w:line="360" w:lineRule="auto"/>
              <w:jc w:val="center"/>
              <w:rPr>
                <w:rFonts w:hint="default" w:ascii="Times New Roman" w:hAnsi="Times New Roman" w:eastAsia="宋体" w:cs="Times New Roman"/>
                <w:color w:val="000000"/>
                <w:kern w:val="0"/>
                <w:sz w:val="24"/>
                <w:szCs w:val="24"/>
              </w:rPr>
            </w:pPr>
          </w:p>
        </w:tc>
        <w:tc>
          <w:tcPr>
            <w:tcW w:w="770" w:type="pct"/>
            <w:tcBorders>
              <w:top w:val="nil"/>
              <w:left w:val="nil"/>
              <w:bottom w:val="single" w:color="auto" w:sz="4" w:space="0"/>
              <w:right w:val="single" w:color="auto" w:sz="4" w:space="0"/>
            </w:tcBorders>
            <w:noWrap w:val="0"/>
            <w:vAlign w:val="center"/>
          </w:tcPr>
          <w:p w14:paraId="104111EF">
            <w:pPr>
              <w:widowControl/>
              <w:spacing w:line="360" w:lineRule="auto"/>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净购入量</w:t>
            </w:r>
          </w:p>
          <w:p w14:paraId="6C6A50DC">
            <w:pPr>
              <w:widowControl/>
              <w:spacing w:line="360" w:lineRule="auto"/>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(MWh)</w:t>
            </w:r>
          </w:p>
        </w:tc>
        <w:tc>
          <w:tcPr>
            <w:tcW w:w="683" w:type="pct"/>
            <w:tcBorders>
              <w:top w:val="nil"/>
              <w:left w:val="nil"/>
              <w:bottom w:val="single" w:color="auto" w:sz="4" w:space="0"/>
              <w:right w:val="single" w:color="auto" w:sz="4" w:space="0"/>
            </w:tcBorders>
            <w:noWrap w:val="0"/>
            <w:vAlign w:val="center"/>
          </w:tcPr>
          <w:p w14:paraId="129BE74C">
            <w:pPr>
              <w:widowControl/>
              <w:spacing w:line="360" w:lineRule="auto"/>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购入量</w:t>
            </w:r>
          </w:p>
          <w:p w14:paraId="6883F848">
            <w:pPr>
              <w:widowControl/>
              <w:spacing w:line="360" w:lineRule="auto"/>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(MWh)</w:t>
            </w:r>
          </w:p>
        </w:tc>
        <w:tc>
          <w:tcPr>
            <w:tcW w:w="598" w:type="pct"/>
            <w:tcBorders>
              <w:top w:val="nil"/>
              <w:left w:val="nil"/>
              <w:bottom w:val="single" w:color="auto" w:sz="4" w:space="0"/>
              <w:right w:val="single" w:color="auto" w:sz="4" w:space="0"/>
            </w:tcBorders>
            <w:noWrap w:val="0"/>
            <w:vAlign w:val="center"/>
          </w:tcPr>
          <w:p w14:paraId="6BE0AEBB">
            <w:pPr>
              <w:widowControl/>
              <w:spacing w:line="360" w:lineRule="auto"/>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外供量</w:t>
            </w:r>
          </w:p>
          <w:p w14:paraId="6B65FF28">
            <w:pPr>
              <w:widowControl/>
              <w:spacing w:line="360" w:lineRule="auto"/>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(MWh)</w:t>
            </w:r>
          </w:p>
        </w:tc>
        <w:tc>
          <w:tcPr>
            <w:tcW w:w="1025" w:type="pct"/>
            <w:vMerge w:val="continue"/>
            <w:tcBorders>
              <w:left w:val="single" w:color="auto" w:sz="4" w:space="0"/>
              <w:bottom w:val="single" w:color="auto" w:sz="4" w:space="0"/>
              <w:right w:val="single" w:color="auto" w:sz="4" w:space="0"/>
            </w:tcBorders>
            <w:noWrap w:val="0"/>
            <w:vAlign w:val="center"/>
          </w:tcPr>
          <w:p w14:paraId="18A723C3">
            <w:pPr>
              <w:widowControl/>
              <w:spacing w:line="360" w:lineRule="auto"/>
              <w:jc w:val="center"/>
              <w:rPr>
                <w:rFonts w:hint="default" w:ascii="Times New Roman" w:hAnsi="Times New Roman" w:eastAsia="宋体" w:cs="Times New Roman"/>
                <w:color w:val="000000"/>
                <w:kern w:val="0"/>
                <w:sz w:val="24"/>
                <w:szCs w:val="24"/>
              </w:rPr>
            </w:pPr>
          </w:p>
        </w:tc>
        <w:tc>
          <w:tcPr>
            <w:tcW w:w="902" w:type="pct"/>
            <w:vMerge w:val="continue"/>
            <w:tcBorders>
              <w:left w:val="single" w:color="auto" w:sz="4" w:space="0"/>
              <w:bottom w:val="single" w:color="auto" w:sz="4" w:space="0"/>
              <w:right w:val="single" w:color="auto" w:sz="4" w:space="0"/>
            </w:tcBorders>
            <w:noWrap w:val="0"/>
            <w:vAlign w:val="center"/>
          </w:tcPr>
          <w:p w14:paraId="3AE359FB">
            <w:pPr>
              <w:widowControl/>
              <w:spacing w:line="360" w:lineRule="auto"/>
              <w:jc w:val="center"/>
              <w:rPr>
                <w:rFonts w:hint="default" w:ascii="Times New Roman" w:hAnsi="Times New Roman" w:eastAsia="宋体" w:cs="Times New Roman"/>
                <w:color w:val="000000"/>
                <w:kern w:val="0"/>
                <w:sz w:val="24"/>
                <w:szCs w:val="24"/>
              </w:rPr>
            </w:pPr>
          </w:p>
        </w:tc>
      </w:tr>
      <w:tr w14:paraId="1FA9BFEC">
        <w:tblPrEx>
          <w:tblCellMar>
            <w:top w:w="0" w:type="dxa"/>
            <w:left w:w="108" w:type="dxa"/>
            <w:bottom w:w="0" w:type="dxa"/>
            <w:right w:w="108" w:type="dxa"/>
          </w:tblCellMar>
        </w:tblPrEx>
        <w:trPr>
          <w:trHeight w:val="270" w:hRule="atLeast"/>
        </w:trPr>
        <w:tc>
          <w:tcPr>
            <w:tcW w:w="1022" w:type="pct"/>
            <w:tcBorders>
              <w:top w:val="nil"/>
              <w:left w:val="single" w:color="auto" w:sz="4" w:space="0"/>
              <w:bottom w:val="single" w:color="auto" w:sz="4" w:space="0"/>
              <w:right w:val="single" w:color="auto" w:sz="4" w:space="0"/>
            </w:tcBorders>
            <w:noWrap w:val="0"/>
            <w:vAlign w:val="center"/>
          </w:tcPr>
          <w:p w14:paraId="30694AAB">
            <w:pPr>
              <w:widowControl/>
              <w:spacing w:line="360" w:lineRule="auto"/>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电力（华东地区电网）</w:t>
            </w:r>
          </w:p>
        </w:tc>
        <w:tc>
          <w:tcPr>
            <w:tcW w:w="770" w:type="pct"/>
            <w:tcBorders>
              <w:top w:val="nil"/>
              <w:left w:val="nil"/>
              <w:bottom w:val="single" w:color="auto" w:sz="4" w:space="0"/>
              <w:right w:val="single" w:color="auto" w:sz="4" w:space="0"/>
            </w:tcBorders>
            <w:noWrap w:val="0"/>
            <w:vAlign w:val="center"/>
          </w:tcPr>
          <w:p w14:paraId="7A622250">
            <w:pPr>
              <w:widowControl/>
              <w:spacing w:line="360" w:lineRule="auto"/>
              <w:ind w:left="0" w:leftChars="0" w:firstLine="0" w:firstLineChars="0"/>
              <w:jc w:val="center"/>
              <w:rPr>
                <w:rFonts w:hint="default" w:ascii="Times New Roman" w:hAnsi="Times New Roman" w:eastAsia="宋体" w:cs="Times New Roman"/>
                <w:color w:val="000000"/>
                <w:kern w:val="0"/>
                <w:sz w:val="24"/>
                <w:szCs w:val="24"/>
                <w:lang w:val="en-US"/>
              </w:rPr>
            </w:pPr>
            <w:r>
              <w:rPr>
                <w:rFonts w:hint="eastAsia" w:ascii="Times New Roman" w:hAnsi="Times New Roman" w:cs="Times New Roman"/>
                <w:color w:val="000000"/>
                <w:sz w:val="24"/>
                <w:szCs w:val="24"/>
                <w:lang w:val="en-US" w:eastAsia="zh-CN"/>
              </w:rPr>
              <w:t>5710</w:t>
            </w:r>
          </w:p>
        </w:tc>
        <w:tc>
          <w:tcPr>
            <w:tcW w:w="683" w:type="pct"/>
            <w:tcBorders>
              <w:top w:val="nil"/>
              <w:left w:val="nil"/>
              <w:bottom w:val="single" w:color="auto" w:sz="4" w:space="0"/>
              <w:right w:val="single" w:color="auto" w:sz="4" w:space="0"/>
            </w:tcBorders>
            <w:noWrap w:val="0"/>
            <w:vAlign w:val="center"/>
          </w:tcPr>
          <w:p w14:paraId="068C21E7">
            <w:pPr>
              <w:widowControl/>
              <w:spacing w:line="360" w:lineRule="auto"/>
              <w:ind w:left="0" w:leftChars="0" w:firstLine="0" w:firstLineChars="0"/>
              <w:jc w:val="center"/>
              <w:rPr>
                <w:rFonts w:hint="default" w:ascii="Times New Roman" w:hAnsi="Times New Roman" w:eastAsia="宋体" w:cs="Times New Roman"/>
                <w:color w:val="000000"/>
                <w:kern w:val="0"/>
                <w:sz w:val="24"/>
                <w:szCs w:val="24"/>
                <w:lang w:val="en-US"/>
              </w:rPr>
            </w:pPr>
            <w:r>
              <w:rPr>
                <w:rFonts w:hint="eastAsia" w:ascii="Times New Roman" w:hAnsi="Times New Roman" w:cs="Times New Roman"/>
                <w:color w:val="000000"/>
                <w:sz w:val="24"/>
                <w:szCs w:val="24"/>
                <w:lang w:val="en-US" w:eastAsia="zh-CN"/>
              </w:rPr>
              <w:t>5710</w:t>
            </w:r>
          </w:p>
        </w:tc>
        <w:tc>
          <w:tcPr>
            <w:tcW w:w="598" w:type="pct"/>
            <w:tcBorders>
              <w:top w:val="nil"/>
              <w:left w:val="nil"/>
              <w:bottom w:val="single" w:color="auto" w:sz="4" w:space="0"/>
              <w:right w:val="single" w:color="auto" w:sz="4" w:space="0"/>
            </w:tcBorders>
            <w:noWrap w:val="0"/>
            <w:vAlign w:val="center"/>
          </w:tcPr>
          <w:p w14:paraId="42BEFA69">
            <w:pPr>
              <w:widowControl/>
              <w:spacing w:line="360" w:lineRule="auto"/>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等线" w:cs="Times New Roman"/>
                <w:color w:val="000000"/>
                <w:sz w:val="24"/>
                <w:szCs w:val="24"/>
              </w:rPr>
              <w:t>0</w:t>
            </w:r>
          </w:p>
        </w:tc>
        <w:tc>
          <w:tcPr>
            <w:tcW w:w="1025" w:type="pct"/>
            <w:tcBorders>
              <w:top w:val="nil"/>
              <w:left w:val="nil"/>
              <w:bottom w:val="single" w:color="auto" w:sz="4" w:space="0"/>
              <w:right w:val="single" w:color="auto" w:sz="4" w:space="0"/>
            </w:tcBorders>
            <w:noWrap w:val="0"/>
            <w:vAlign w:val="center"/>
          </w:tcPr>
          <w:p w14:paraId="6EC18983">
            <w:pPr>
              <w:widowControl/>
              <w:spacing w:line="360" w:lineRule="auto"/>
              <w:ind w:left="0" w:leftChars="0" w:firstLine="0" w:firstLineChars="0"/>
              <w:jc w:val="center"/>
              <w:rPr>
                <w:rFonts w:hint="default" w:ascii="Times New Roman" w:hAnsi="Times New Roman" w:eastAsia="等线" w:cs="Times New Roman"/>
                <w:color w:val="0070C0"/>
                <w:kern w:val="0"/>
                <w:sz w:val="24"/>
                <w:szCs w:val="24"/>
                <w:lang w:val="en-US" w:eastAsia="zh-CN"/>
              </w:rPr>
            </w:pPr>
            <w:r>
              <w:rPr>
                <w:rFonts w:hint="default" w:ascii="Times New Roman" w:hAnsi="Times New Roman" w:eastAsia="等线" w:cs="Times New Roman"/>
                <w:sz w:val="24"/>
                <w:szCs w:val="24"/>
              </w:rPr>
              <w:t>0.</w:t>
            </w:r>
            <w:r>
              <w:rPr>
                <w:rFonts w:hint="eastAsia" w:ascii="Times New Roman" w:hAnsi="Times New Roman" w:cs="Times New Roman"/>
                <w:sz w:val="24"/>
                <w:szCs w:val="24"/>
                <w:lang w:val="en-US" w:eastAsia="zh-CN"/>
              </w:rPr>
              <w:t>6782</w:t>
            </w:r>
          </w:p>
        </w:tc>
        <w:tc>
          <w:tcPr>
            <w:tcW w:w="902" w:type="pct"/>
            <w:tcBorders>
              <w:top w:val="nil"/>
              <w:left w:val="nil"/>
              <w:bottom w:val="single" w:color="auto" w:sz="4" w:space="0"/>
              <w:right w:val="single" w:color="auto" w:sz="4" w:space="0"/>
            </w:tcBorders>
            <w:noWrap w:val="0"/>
            <w:vAlign w:val="center"/>
          </w:tcPr>
          <w:p w14:paraId="5C475441">
            <w:pPr>
              <w:widowControl/>
              <w:spacing w:line="360" w:lineRule="auto"/>
              <w:ind w:left="0" w:leftChars="0" w:firstLine="0" w:firstLineChars="0"/>
              <w:jc w:val="center"/>
              <w:rPr>
                <w:rFonts w:hint="default" w:ascii="Times New Roman" w:hAnsi="Times New Roman" w:eastAsia="宋体" w:cs="Times New Roman"/>
                <w:color w:val="000000"/>
                <w:kern w:val="0"/>
                <w:sz w:val="24"/>
                <w:szCs w:val="24"/>
                <w:lang w:val="en-US" w:eastAsia="zh-CN"/>
              </w:rPr>
            </w:pPr>
            <w:r>
              <w:rPr>
                <w:rFonts w:hint="eastAsia" w:ascii="Times New Roman" w:hAnsi="Times New Roman" w:cs="Times New Roman"/>
                <w:color w:val="000000"/>
                <w:sz w:val="24"/>
                <w:szCs w:val="24"/>
                <w:lang w:val="en-US" w:eastAsia="zh-CN"/>
              </w:rPr>
              <w:t>3872.5220</w:t>
            </w:r>
          </w:p>
        </w:tc>
      </w:tr>
      <w:tr w14:paraId="65DD041E">
        <w:tblPrEx>
          <w:tblCellMar>
            <w:top w:w="0" w:type="dxa"/>
            <w:left w:w="108" w:type="dxa"/>
            <w:bottom w:w="0" w:type="dxa"/>
            <w:right w:w="108" w:type="dxa"/>
          </w:tblCellMar>
        </w:tblPrEx>
        <w:trPr>
          <w:trHeight w:val="270" w:hRule="atLeast"/>
        </w:trPr>
        <w:tc>
          <w:tcPr>
            <w:tcW w:w="4098" w:type="pct"/>
            <w:gridSpan w:val="5"/>
            <w:tcBorders>
              <w:top w:val="single" w:color="auto" w:sz="4" w:space="0"/>
              <w:left w:val="single" w:color="auto" w:sz="4" w:space="0"/>
              <w:bottom w:val="single" w:color="auto" w:sz="4" w:space="0"/>
              <w:right w:val="nil"/>
            </w:tcBorders>
            <w:noWrap w:val="0"/>
            <w:vAlign w:val="center"/>
          </w:tcPr>
          <w:p w14:paraId="79EF3534">
            <w:pPr>
              <w:widowControl/>
              <w:spacing w:line="360" w:lineRule="auto"/>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合计</w:t>
            </w:r>
          </w:p>
        </w:tc>
        <w:tc>
          <w:tcPr>
            <w:tcW w:w="902" w:type="pct"/>
            <w:tcBorders>
              <w:top w:val="nil"/>
              <w:left w:val="single" w:color="auto" w:sz="4" w:space="0"/>
              <w:bottom w:val="single" w:color="auto" w:sz="4" w:space="0"/>
              <w:right w:val="single" w:color="auto" w:sz="4" w:space="0"/>
            </w:tcBorders>
            <w:noWrap w:val="0"/>
            <w:vAlign w:val="center"/>
          </w:tcPr>
          <w:p w14:paraId="54B5541A">
            <w:pPr>
              <w:widowControl/>
              <w:spacing w:line="360" w:lineRule="auto"/>
              <w:ind w:left="0" w:leftChars="0" w:firstLine="0" w:firstLineChars="0"/>
              <w:jc w:val="center"/>
              <w:rPr>
                <w:rFonts w:hint="default" w:ascii="Times New Roman" w:hAnsi="Times New Roman" w:eastAsia="宋体" w:cs="Times New Roman"/>
                <w:color w:val="000000"/>
                <w:kern w:val="0"/>
                <w:sz w:val="24"/>
                <w:szCs w:val="24"/>
                <w:lang w:val="en-US"/>
              </w:rPr>
            </w:pPr>
            <w:r>
              <w:rPr>
                <w:rFonts w:hint="eastAsia" w:ascii="Times New Roman" w:hAnsi="Times New Roman" w:cs="Times New Roman"/>
                <w:color w:val="000000"/>
                <w:sz w:val="24"/>
                <w:szCs w:val="24"/>
                <w:lang w:val="en-US" w:eastAsia="zh-CN"/>
              </w:rPr>
              <w:t>3872.5220</w:t>
            </w:r>
          </w:p>
        </w:tc>
      </w:tr>
    </w:tbl>
    <w:p w14:paraId="5AB76520">
      <w:pPr>
        <w:pStyle w:val="5"/>
        <w:bidi w:val="0"/>
        <w:rPr>
          <w:rFonts w:hint="default"/>
        </w:rPr>
      </w:pPr>
      <w:bookmarkStart w:id="11" w:name="_Toc8968"/>
      <w:r>
        <w:rPr>
          <w:rFonts w:hint="default"/>
        </w:rPr>
        <w:t>3.2汇总表</w:t>
      </w:r>
      <w:bookmarkEnd w:id="11"/>
    </w:p>
    <w:p w14:paraId="4E97A451">
      <w:pPr>
        <w:pStyle w:val="27"/>
        <w:bidi w:val="0"/>
        <w:rPr>
          <w:rFonts w:hint="default"/>
        </w:rPr>
      </w:pPr>
      <w:r>
        <w:rPr>
          <w:rFonts w:hint="default"/>
        </w:rPr>
        <w:t>表3-</w:t>
      </w:r>
      <w:r>
        <w:rPr>
          <w:rFonts w:hint="eastAsia"/>
          <w:lang w:val="en-US" w:eastAsia="zh-CN"/>
        </w:rPr>
        <w:t>3</w:t>
      </w:r>
      <w:r>
        <w:rPr>
          <w:rFonts w:hint="default"/>
        </w:rPr>
        <w:t xml:space="preserve">  报告主体</w:t>
      </w:r>
      <w:r>
        <w:rPr>
          <w:rFonts w:hint="eastAsia"/>
          <w:lang w:eastAsia="zh-CN"/>
        </w:rPr>
        <w:t>2024年</w:t>
      </w:r>
      <w:r>
        <w:rPr>
          <w:rFonts w:hint="default"/>
        </w:rPr>
        <w:t>温室气体排放量汇总</w:t>
      </w:r>
    </w:p>
    <w:tbl>
      <w:tblPr>
        <w:tblStyle w:val="11"/>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736"/>
        <w:gridCol w:w="3761"/>
        <w:gridCol w:w="2835"/>
        <w:gridCol w:w="2610"/>
      </w:tblGrid>
      <w:tr w14:paraId="6A2E9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11332"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7CC777F9">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报告主体名称：</w:t>
            </w:r>
            <w:r>
              <w:rPr>
                <w:rStyle w:val="28"/>
                <w:lang w:val="en-US" w:eastAsia="zh-CN" w:bidi="ar"/>
              </w:rPr>
              <w:t>安徽汉马发动机有限公司</w:t>
            </w:r>
          </w:p>
        </w:tc>
        <w:tc>
          <w:tcPr>
            <w:tcW w:w="261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CFAF3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w:t>
            </w:r>
            <w:r>
              <w:rPr>
                <w:rStyle w:val="29"/>
                <w:rFonts w:eastAsia="宋体"/>
                <w:lang w:val="en-US" w:eastAsia="zh-CN" w:bidi="ar"/>
              </w:rPr>
              <w:t>2024</w:t>
            </w:r>
          </w:p>
        </w:tc>
      </w:tr>
      <w:tr w14:paraId="2FC78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3" w:hRule="atLeast"/>
        </w:trPr>
        <w:tc>
          <w:tcPr>
            <w:tcW w:w="4736" w:type="dxa"/>
            <w:tcBorders>
              <w:top w:val="nil"/>
              <w:left w:val="single" w:color="000000" w:sz="8" w:space="0"/>
              <w:bottom w:val="single" w:color="000000" w:sz="8" w:space="0"/>
              <w:right w:val="single" w:color="000000" w:sz="8" w:space="0"/>
            </w:tcBorders>
            <w:shd w:val="clear" w:color="auto" w:fill="auto"/>
            <w:vAlign w:val="center"/>
          </w:tcPr>
          <w:p w14:paraId="3EF2D29A">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源类别</w:t>
            </w:r>
          </w:p>
        </w:tc>
        <w:tc>
          <w:tcPr>
            <w:tcW w:w="3761" w:type="dxa"/>
            <w:tcBorders>
              <w:top w:val="nil"/>
              <w:left w:val="single" w:color="000000" w:sz="8" w:space="0"/>
              <w:bottom w:val="single" w:color="000000" w:sz="8" w:space="0"/>
              <w:right w:val="single" w:color="000000" w:sz="8" w:space="0"/>
            </w:tcBorders>
            <w:shd w:val="clear" w:color="auto" w:fill="auto"/>
            <w:vAlign w:val="center"/>
          </w:tcPr>
          <w:p w14:paraId="4691CDA0">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气体</w:t>
            </w:r>
          </w:p>
        </w:tc>
        <w:tc>
          <w:tcPr>
            <w:tcW w:w="283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5836179">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排放量小计</w:t>
            </w:r>
          </w:p>
          <w:p w14:paraId="2167E942">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r>
              <w:rPr>
                <w:rStyle w:val="29"/>
                <w:rFonts w:eastAsia="宋体"/>
                <w:lang w:val="en-US" w:eastAsia="zh-CN" w:bidi="ar"/>
              </w:rPr>
              <w:t>t</w:t>
            </w:r>
            <w:r>
              <w:rPr>
                <w:rStyle w:val="28"/>
                <w:lang w:val="en-US" w:eastAsia="zh-CN" w:bidi="ar"/>
              </w:rPr>
              <w:t>）</w:t>
            </w:r>
          </w:p>
        </w:tc>
        <w:tc>
          <w:tcPr>
            <w:tcW w:w="261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AE2C8ED">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温室气体排放量</w:t>
            </w:r>
            <w:r>
              <w:rPr>
                <w:rStyle w:val="29"/>
                <w:rFonts w:eastAsia="宋体"/>
                <w:lang w:val="en-US" w:eastAsia="zh-CN" w:bidi="ar"/>
              </w:rPr>
              <w:t>(tCO</w:t>
            </w:r>
            <w:r>
              <w:rPr>
                <w:rStyle w:val="30"/>
                <w:rFonts w:eastAsia="宋体"/>
                <w:lang w:val="en-US" w:eastAsia="zh-CN" w:bidi="ar"/>
              </w:rPr>
              <w:t>2</w:t>
            </w:r>
            <w:r>
              <w:rPr>
                <w:rStyle w:val="29"/>
                <w:rFonts w:eastAsia="宋体"/>
                <w:lang w:val="en-US" w:eastAsia="zh-CN" w:bidi="ar"/>
              </w:rPr>
              <w:t>e)</w:t>
            </w:r>
          </w:p>
        </w:tc>
      </w:tr>
      <w:tr w14:paraId="26A0C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9" w:hRule="atLeast"/>
        </w:trPr>
        <w:tc>
          <w:tcPr>
            <w:tcW w:w="11332" w:type="dxa"/>
            <w:gridSpan w:val="3"/>
            <w:tcBorders>
              <w:top w:val="nil"/>
              <w:left w:val="single" w:color="000000" w:sz="8" w:space="0"/>
              <w:bottom w:val="single" w:color="000000" w:sz="8" w:space="0"/>
              <w:right w:val="single" w:color="000000" w:sz="8" w:space="0"/>
            </w:tcBorders>
            <w:shd w:val="clear" w:color="auto" w:fill="auto"/>
            <w:vAlign w:val="center"/>
          </w:tcPr>
          <w:p w14:paraId="4508FC4E">
            <w:pPr>
              <w:keepNext w:val="0"/>
              <w:keepLines w:val="0"/>
              <w:widowControl/>
              <w:suppressLineNumbers w:val="0"/>
              <w:ind w:left="0" w:leftChars="0" w:firstLine="0" w:firstLineChars="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燃料燃烧排放</w:t>
            </w:r>
          </w:p>
        </w:tc>
        <w:tc>
          <w:tcPr>
            <w:tcW w:w="2610" w:type="dxa"/>
            <w:tcBorders>
              <w:top w:val="nil"/>
              <w:left w:val="single" w:color="000000" w:sz="8" w:space="0"/>
              <w:bottom w:val="single" w:color="000000" w:sz="8" w:space="0"/>
              <w:right w:val="single" w:color="000000" w:sz="8" w:space="0"/>
            </w:tcBorders>
            <w:shd w:val="clear" w:color="auto" w:fill="auto"/>
            <w:vAlign w:val="center"/>
          </w:tcPr>
          <w:p w14:paraId="7CEE7291">
            <w:pPr>
              <w:jc w:val="right"/>
              <w:rPr>
                <w:rFonts w:hint="default" w:ascii="Times New Roman" w:hAnsi="Times New Roman" w:eastAsia="宋体" w:cs="Times New Roman"/>
                <w:b/>
                <w:bCs/>
                <w:i w:val="0"/>
                <w:iCs w:val="0"/>
                <w:color w:val="000000"/>
                <w:sz w:val="24"/>
                <w:szCs w:val="24"/>
                <w:u w:val="none"/>
              </w:rPr>
            </w:pPr>
          </w:p>
        </w:tc>
      </w:tr>
      <w:tr w14:paraId="4033C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736" w:type="dxa"/>
            <w:tcBorders>
              <w:top w:val="nil"/>
              <w:left w:val="single" w:color="000000" w:sz="8" w:space="0"/>
              <w:bottom w:val="single" w:color="000000" w:sz="8" w:space="0"/>
              <w:right w:val="single" w:color="000000" w:sz="8" w:space="0"/>
            </w:tcBorders>
            <w:shd w:val="clear" w:color="auto" w:fill="auto"/>
            <w:vAlign w:val="center"/>
          </w:tcPr>
          <w:p w14:paraId="7D25EDB2">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固定源化石燃料燃烧排放</w:t>
            </w:r>
          </w:p>
        </w:tc>
        <w:tc>
          <w:tcPr>
            <w:tcW w:w="3761" w:type="dxa"/>
            <w:tcBorders>
              <w:top w:val="nil"/>
              <w:left w:val="nil"/>
              <w:bottom w:val="single" w:color="000000" w:sz="8" w:space="0"/>
              <w:right w:val="single" w:color="000000" w:sz="8" w:space="0"/>
            </w:tcBorders>
            <w:shd w:val="clear" w:color="auto" w:fill="auto"/>
            <w:vAlign w:val="center"/>
          </w:tcPr>
          <w:p w14:paraId="6F9A6CA9">
            <w:pPr>
              <w:keepNext w:val="0"/>
              <w:keepLines w:val="0"/>
              <w:widowControl/>
              <w:suppressLineNumbers w:val="0"/>
              <w:ind w:left="0" w:leftChars="0" w:firstLine="0" w:firstLineChars="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CO</w:t>
            </w:r>
            <w:r>
              <w:rPr>
                <w:rStyle w:val="30"/>
                <w:rFonts w:eastAsia="宋体"/>
                <w:lang w:val="en-US" w:eastAsia="zh-CN" w:bidi="ar"/>
              </w:rPr>
              <w:t>2</w:t>
            </w:r>
          </w:p>
        </w:tc>
        <w:tc>
          <w:tcPr>
            <w:tcW w:w="283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06383C3">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14.9496</w:t>
            </w:r>
          </w:p>
        </w:tc>
        <w:tc>
          <w:tcPr>
            <w:tcW w:w="261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6CCE240">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14.9496</w:t>
            </w:r>
          </w:p>
        </w:tc>
      </w:tr>
      <w:tr w14:paraId="66C18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11332" w:type="dxa"/>
            <w:gridSpan w:val="3"/>
            <w:tcBorders>
              <w:top w:val="nil"/>
              <w:left w:val="single" w:color="000000" w:sz="8" w:space="0"/>
              <w:bottom w:val="single" w:color="000000" w:sz="8" w:space="0"/>
              <w:right w:val="single" w:color="000000" w:sz="8" w:space="0"/>
            </w:tcBorders>
            <w:shd w:val="clear" w:color="auto" w:fill="auto"/>
            <w:vAlign w:val="center"/>
          </w:tcPr>
          <w:p w14:paraId="6B60D68F">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净购入电力和热力隐含的排放</w:t>
            </w:r>
          </w:p>
        </w:tc>
        <w:tc>
          <w:tcPr>
            <w:tcW w:w="2610" w:type="dxa"/>
            <w:tcBorders>
              <w:top w:val="nil"/>
              <w:left w:val="single" w:color="000000" w:sz="8" w:space="0"/>
              <w:bottom w:val="single" w:color="000000" w:sz="8" w:space="0"/>
              <w:right w:val="single" w:color="000000" w:sz="8" w:space="0"/>
            </w:tcBorders>
            <w:shd w:val="clear" w:color="auto" w:fill="auto"/>
            <w:vAlign w:val="center"/>
          </w:tcPr>
          <w:p w14:paraId="48A9C933">
            <w:pPr>
              <w:jc w:val="center"/>
              <w:rPr>
                <w:rFonts w:hint="default" w:ascii="Times New Roman" w:hAnsi="Times New Roman" w:eastAsia="宋体" w:cs="Times New Roman"/>
                <w:b/>
                <w:bCs/>
                <w:i w:val="0"/>
                <w:iCs w:val="0"/>
                <w:color w:val="000000"/>
                <w:sz w:val="24"/>
                <w:szCs w:val="24"/>
                <w:u w:val="none"/>
              </w:rPr>
            </w:pPr>
          </w:p>
        </w:tc>
      </w:tr>
      <w:tr w14:paraId="48922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3" w:hRule="atLeast"/>
        </w:trPr>
        <w:tc>
          <w:tcPr>
            <w:tcW w:w="4736" w:type="dxa"/>
            <w:tcBorders>
              <w:top w:val="nil"/>
              <w:left w:val="single" w:color="000000" w:sz="8" w:space="0"/>
              <w:bottom w:val="single" w:color="000000" w:sz="8" w:space="0"/>
              <w:right w:val="single" w:color="000000" w:sz="8" w:space="0"/>
            </w:tcBorders>
            <w:shd w:val="clear" w:color="auto" w:fill="auto"/>
            <w:vAlign w:val="center"/>
          </w:tcPr>
          <w:p w14:paraId="44038BAB">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净购入电力隐含的排放</w:t>
            </w:r>
          </w:p>
        </w:tc>
        <w:tc>
          <w:tcPr>
            <w:tcW w:w="3761" w:type="dxa"/>
            <w:tcBorders>
              <w:top w:val="nil"/>
              <w:left w:val="nil"/>
              <w:bottom w:val="single" w:color="000000" w:sz="8" w:space="0"/>
              <w:right w:val="single" w:color="000000" w:sz="8" w:space="0"/>
            </w:tcBorders>
            <w:shd w:val="clear" w:color="auto" w:fill="auto"/>
            <w:vAlign w:val="center"/>
          </w:tcPr>
          <w:p w14:paraId="2E0DDE09">
            <w:pPr>
              <w:keepNext w:val="0"/>
              <w:keepLines w:val="0"/>
              <w:widowControl/>
              <w:suppressLineNumbers w:val="0"/>
              <w:ind w:left="0" w:leftChars="0" w:firstLine="0" w:firstLineChars="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CO</w:t>
            </w:r>
            <w:r>
              <w:rPr>
                <w:rStyle w:val="30"/>
                <w:rFonts w:eastAsia="宋体"/>
                <w:lang w:val="en-US" w:eastAsia="zh-CN" w:bidi="ar"/>
              </w:rPr>
              <w:t>2</w:t>
            </w:r>
          </w:p>
        </w:tc>
        <w:tc>
          <w:tcPr>
            <w:tcW w:w="283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5858F0B">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3872.5220</w:t>
            </w:r>
          </w:p>
        </w:tc>
        <w:tc>
          <w:tcPr>
            <w:tcW w:w="261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FCE3930">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3872.5220</w:t>
            </w:r>
          </w:p>
        </w:tc>
      </w:tr>
      <w:tr w14:paraId="47DC1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4736" w:type="dxa"/>
            <w:vMerge w:val="restart"/>
            <w:tcBorders>
              <w:top w:val="nil"/>
              <w:left w:val="single" w:color="000000" w:sz="8" w:space="0"/>
              <w:bottom w:val="single" w:color="000000" w:sz="8" w:space="0"/>
              <w:right w:val="single" w:color="000000" w:sz="8" w:space="0"/>
            </w:tcBorders>
            <w:shd w:val="clear" w:color="auto" w:fill="auto"/>
            <w:vAlign w:val="center"/>
          </w:tcPr>
          <w:p w14:paraId="0F43A5F2">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企业温室气体排放总量</w:t>
            </w:r>
          </w:p>
        </w:tc>
        <w:tc>
          <w:tcPr>
            <w:tcW w:w="3761" w:type="dxa"/>
            <w:tcBorders>
              <w:top w:val="nil"/>
              <w:left w:val="nil"/>
              <w:bottom w:val="single" w:color="000000" w:sz="8" w:space="0"/>
              <w:right w:val="single" w:color="000000" w:sz="8" w:space="0"/>
            </w:tcBorders>
            <w:shd w:val="clear" w:color="auto" w:fill="auto"/>
            <w:vAlign w:val="center"/>
          </w:tcPr>
          <w:p w14:paraId="67278E07">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不包括净购入电力和热力</w:t>
            </w:r>
          </w:p>
        </w:tc>
        <w:tc>
          <w:tcPr>
            <w:tcW w:w="2835" w:type="dxa"/>
            <w:tcBorders>
              <w:top w:val="nil"/>
              <w:left w:val="nil"/>
              <w:bottom w:val="single" w:color="000000" w:sz="8" w:space="0"/>
              <w:right w:val="single" w:color="000000" w:sz="8" w:space="0"/>
            </w:tcBorders>
            <w:shd w:val="clear" w:color="auto" w:fill="auto"/>
            <w:vAlign w:val="center"/>
          </w:tcPr>
          <w:p w14:paraId="2409ADBB">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14.9496</w:t>
            </w:r>
          </w:p>
        </w:tc>
        <w:tc>
          <w:tcPr>
            <w:tcW w:w="2610" w:type="dxa"/>
            <w:tcBorders>
              <w:top w:val="nil"/>
              <w:left w:val="nil"/>
              <w:bottom w:val="single" w:color="000000" w:sz="8" w:space="0"/>
              <w:right w:val="single" w:color="000000" w:sz="8" w:space="0"/>
            </w:tcBorders>
            <w:shd w:val="clear" w:color="auto" w:fill="auto"/>
            <w:vAlign w:val="center"/>
          </w:tcPr>
          <w:p w14:paraId="7FDA0F9C">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14.9496</w:t>
            </w:r>
          </w:p>
        </w:tc>
      </w:tr>
      <w:tr w14:paraId="7635B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4736" w:type="dxa"/>
            <w:vMerge w:val="continue"/>
            <w:tcBorders>
              <w:top w:val="nil"/>
              <w:left w:val="single" w:color="000000" w:sz="8" w:space="0"/>
              <w:bottom w:val="single" w:color="000000" w:sz="8" w:space="0"/>
              <w:right w:val="single" w:color="000000" w:sz="8" w:space="0"/>
            </w:tcBorders>
            <w:shd w:val="clear" w:color="auto" w:fill="auto"/>
            <w:vAlign w:val="center"/>
          </w:tcPr>
          <w:p w14:paraId="31C59B73">
            <w:pPr>
              <w:jc w:val="both"/>
              <w:rPr>
                <w:rFonts w:hint="eastAsia" w:ascii="宋体" w:hAnsi="宋体" w:eastAsia="宋体" w:cs="宋体"/>
                <w:i w:val="0"/>
                <w:iCs w:val="0"/>
                <w:color w:val="000000"/>
                <w:sz w:val="24"/>
                <w:szCs w:val="24"/>
                <w:u w:val="none"/>
              </w:rPr>
            </w:pPr>
          </w:p>
        </w:tc>
        <w:tc>
          <w:tcPr>
            <w:tcW w:w="3761" w:type="dxa"/>
            <w:tcBorders>
              <w:top w:val="nil"/>
              <w:left w:val="nil"/>
              <w:bottom w:val="single" w:color="000000" w:sz="8" w:space="0"/>
              <w:right w:val="single" w:color="000000" w:sz="8" w:space="0"/>
            </w:tcBorders>
            <w:shd w:val="clear" w:color="auto" w:fill="auto"/>
            <w:vAlign w:val="center"/>
          </w:tcPr>
          <w:p w14:paraId="324C8832">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包括净购入电力和热力</w:t>
            </w:r>
          </w:p>
        </w:tc>
        <w:tc>
          <w:tcPr>
            <w:tcW w:w="2835" w:type="dxa"/>
            <w:tcBorders>
              <w:top w:val="nil"/>
              <w:left w:val="nil"/>
              <w:bottom w:val="single" w:color="000000" w:sz="8" w:space="0"/>
              <w:right w:val="single" w:color="000000" w:sz="8" w:space="0"/>
            </w:tcBorders>
            <w:shd w:val="clear" w:color="auto" w:fill="auto"/>
            <w:vAlign w:val="center"/>
          </w:tcPr>
          <w:p w14:paraId="3D8F2EDE">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3887.4716</w:t>
            </w:r>
          </w:p>
        </w:tc>
        <w:tc>
          <w:tcPr>
            <w:tcW w:w="2610" w:type="dxa"/>
            <w:tcBorders>
              <w:top w:val="nil"/>
              <w:left w:val="nil"/>
              <w:bottom w:val="single" w:color="000000" w:sz="8" w:space="0"/>
              <w:right w:val="single" w:color="000000" w:sz="8" w:space="0"/>
            </w:tcBorders>
            <w:shd w:val="clear" w:color="auto" w:fill="auto"/>
            <w:vAlign w:val="center"/>
          </w:tcPr>
          <w:p w14:paraId="128CDCB8">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3887.4716</w:t>
            </w:r>
          </w:p>
        </w:tc>
      </w:tr>
    </w:tbl>
    <w:p w14:paraId="4DAAA4CB">
      <w:pPr>
        <w:spacing w:line="360" w:lineRule="auto"/>
        <w:ind w:firstLine="480" w:firstLineChars="200"/>
        <w:rPr>
          <w:rFonts w:hint="default" w:ascii="Times New Roman" w:hAnsi="Times New Roman" w:eastAsia="宋体" w:cs="Times New Roman"/>
          <w:color w:val="0070C0"/>
          <w:sz w:val="24"/>
          <w:szCs w:val="24"/>
        </w:rPr>
      </w:pPr>
    </w:p>
    <w:p w14:paraId="5DFAAD36">
      <w:pPr>
        <w:spacing w:line="360" w:lineRule="auto"/>
        <w:ind w:firstLine="480" w:firstLineChars="200"/>
        <w:rPr>
          <w:rFonts w:hint="default" w:ascii="Times New Roman" w:hAnsi="Times New Roman" w:eastAsia="宋体" w:cs="Times New Roman"/>
          <w:color w:val="0070C0"/>
          <w:sz w:val="24"/>
          <w:szCs w:val="24"/>
        </w:rPr>
      </w:pPr>
    </w:p>
    <w:p w14:paraId="34AD4055">
      <w:pPr>
        <w:spacing w:line="360" w:lineRule="auto"/>
        <w:ind w:firstLine="480" w:firstLineChars="200"/>
        <w:rPr>
          <w:rFonts w:hint="default" w:ascii="Times New Roman" w:hAnsi="Times New Roman" w:eastAsia="宋体" w:cs="Times New Roman"/>
          <w:color w:val="0070C0"/>
          <w:sz w:val="24"/>
          <w:szCs w:val="24"/>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720" w:num="1"/>
          <w:docGrid w:type="lines" w:linePitch="312" w:charSpace="0"/>
        </w:sectPr>
      </w:pPr>
    </w:p>
    <w:p w14:paraId="34C51FC5">
      <w:pPr>
        <w:pStyle w:val="4"/>
        <w:bidi w:val="0"/>
        <w:rPr>
          <w:rFonts w:hint="default"/>
        </w:rPr>
      </w:pPr>
      <w:bookmarkStart w:id="12" w:name="_Toc12373"/>
      <w:r>
        <w:rPr>
          <w:rFonts w:hint="default"/>
        </w:rPr>
        <w:t>4  活动数据及来源说明</w:t>
      </w:r>
      <w:bookmarkEnd w:id="12"/>
    </w:p>
    <w:p w14:paraId="15B30EA6">
      <w:pPr>
        <w:bidi w:val="0"/>
        <w:rPr>
          <w:rFonts w:hint="default"/>
        </w:rPr>
      </w:pPr>
      <w:r>
        <w:rPr>
          <w:rFonts w:hint="default"/>
        </w:rPr>
        <w:t>企业的能源消耗主要为电力</w:t>
      </w:r>
      <w:r>
        <w:rPr>
          <w:rFonts w:hint="eastAsia"/>
          <w:lang w:eastAsia="zh-CN"/>
        </w:rPr>
        <w:t>、</w:t>
      </w:r>
      <w:r>
        <w:rPr>
          <w:rFonts w:hint="default"/>
        </w:rPr>
        <w:t>天然气</w:t>
      </w:r>
      <w:r>
        <w:rPr>
          <w:rFonts w:hint="eastAsia"/>
          <w:lang w:val="en-US" w:eastAsia="zh-CN"/>
        </w:rPr>
        <w:t>和柴油</w:t>
      </w:r>
      <w:r>
        <w:rPr>
          <w:rFonts w:hint="default"/>
        </w:rPr>
        <w:t>，用量计量符合《用能单位能源计量器具配备和管理通则》（GB17167-2006）规定。</w:t>
      </w:r>
    </w:p>
    <w:p w14:paraId="565C2522">
      <w:pPr>
        <w:pStyle w:val="5"/>
        <w:bidi w:val="0"/>
        <w:rPr>
          <w:rFonts w:hint="default"/>
        </w:rPr>
      </w:pPr>
      <w:bookmarkStart w:id="13" w:name="_Toc27056"/>
      <w:r>
        <w:rPr>
          <w:rFonts w:hint="default"/>
        </w:rPr>
        <w:t>4.1 化石燃料活动水平数据及来源</w:t>
      </w:r>
      <w:bookmarkEnd w:id="13"/>
    </w:p>
    <w:p w14:paraId="07438577">
      <w:pPr>
        <w:pStyle w:val="27"/>
        <w:bidi w:val="0"/>
        <w:rPr>
          <w:rFonts w:hint="default"/>
        </w:rPr>
      </w:pPr>
      <w:r>
        <w:rPr>
          <w:rFonts w:hint="default"/>
        </w:rPr>
        <w:t>表4-1  化石燃料活动水平数据及来源表</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1"/>
        <w:gridCol w:w="3111"/>
        <w:gridCol w:w="3230"/>
      </w:tblGrid>
      <w:tr w14:paraId="3C68F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0" w:type="pct"/>
            <w:noWrap w:val="0"/>
            <w:vAlign w:val="center"/>
          </w:tcPr>
          <w:p w14:paraId="469220EE">
            <w:pPr>
              <w:pStyle w:val="24"/>
              <w:spacing w:before="78" w:beforeLines="25" w:after="78" w:afterLines="25" w:line="360" w:lineRule="auto"/>
              <w:jc w:val="center"/>
              <w:rPr>
                <w:rFonts w:hint="default" w:ascii="Times New Roman" w:hAnsi="Times New Roman" w:eastAsia="宋体" w:cs="Times New Roman"/>
              </w:rPr>
            </w:pPr>
            <w:r>
              <w:rPr>
                <w:rFonts w:hint="default" w:ascii="Times New Roman" w:hAnsi="Times New Roman" w:eastAsia="宋体" w:cs="Times New Roman"/>
              </w:rPr>
              <w:t>数据名称</w:t>
            </w:r>
          </w:p>
        </w:tc>
        <w:tc>
          <w:tcPr>
            <w:tcW w:w="3720" w:type="pct"/>
            <w:gridSpan w:val="2"/>
            <w:noWrap w:val="0"/>
            <w:vAlign w:val="center"/>
          </w:tcPr>
          <w:p w14:paraId="536622BA">
            <w:pPr>
              <w:pStyle w:val="24"/>
              <w:spacing w:before="78" w:beforeLines="25" w:after="78" w:afterLines="25" w:line="360" w:lineRule="auto"/>
              <w:jc w:val="center"/>
              <w:rPr>
                <w:rFonts w:hint="default" w:ascii="Times New Roman" w:hAnsi="Times New Roman" w:eastAsia="宋体" w:cs="Times New Roman"/>
              </w:rPr>
            </w:pPr>
            <w:r>
              <w:rPr>
                <w:rFonts w:hint="default" w:ascii="Times New Roman" w:hAnsi="Times New Roman" w:eastAsia="宋体" w:cs="Times New Roman"/>
              </w:rPr>
              <w:t>天然气消耗量</w:t>
            </w:r>
          </w:p>
        </w:tc>
      </w:tr>
      <w:tr w14:paraId="63BAD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0" w:type="pct"/>
            <w:noWrap w:val="0"/>
            <w:vAlign w:val="center"/>
          </w:tcPr>
          <w:p w14:paraId="517856E8">
            <w:pPr>
              <w:pStyle w:val="24"/>
              <w:spacing w:before="78" w:beforeLines="25" w:after="78" w:afterLines="25" w:line="360" w:lineRule="auto"/>
              <w:jc w:val="center"/>
              <w:rPr>
                <w:rFonts w:hint="default" w:ascii="Times New Roman" w:hAnsi="Times New Roman" w:eastAsia="宋体" w:cs="Times New Roman"/>
              </w:rPr>
            </w:pPr>
            <w:r>
              <w:rPr>
                <w:rFonts w:hint="default" w:ascii="Times New Roman" w:hAnsi="Times New Roman" w:eastAsia="宋体" w:cs="Times New Roman"/>
              </w:rPr>
              <w:t>单位</w:t>
            </w:r>
          </w:p>
        </w:tc>
        <w:tc>
          <w:tcPr>
            <w:tcW w:w="3720" w:type="pct"/>
            <w:gridSpan w:val="2"/>
            <w:noWrap w:val="0"/>
            <w:vAlign w:val="center"/>
          </w:tcPr>
          <w:p w14:paraId="647440F6">
            <w:pPr>
              <w:pStyle w:val="24"/>
              <w:spacing w:before="78" w:beforeLines="25" w:after="78" w:afterLines="25" w:line="360" w:lineRule="auto"/>
              <w:jc w:val="center"/>
              <w:rPr>
                <w:rFonts w:hint="default" w:ascii="Times New Roman" w:hAnsi="Times New Roman" w:eastAsia="宋体" w:cs="Times New Roman"/>
              </w:rPr>
            </w:pPr>
            <w:r>
              <w:rPr>
                <w:rFonts w:hint="default" w:ascii="Times New Roman" w:hAnsi="Times New Roman" w:eastAsia="宋体" w:cs="Times New Roman"/>
              </w:rPr>
              <w:t>10</w:t>
            </w:r>
            <w:r>
              <w:rPr>
                <w:rFonts w:hint="default" w:ascii="Times New Roman" w:hAnsi="Times New Roman" w:eastAsia="宋体" w:cs="Times New Roman"/>
                <w:vertAlign w:val="superscript"/>
              </w:rPr>
              <w:t>4</w:t>
            </w:r>
            <w:r>
              <w:rPr>
                <w:rFonts w:hint="default" w:ascii="Times New Roman" w:hAnsi="Times New Roman" w:eastAsia="宋体" w:cs="Times New Roman"/>
              </w:rPr>
              <w:t>Nm</w:t>
            </w:r>
            <w:r>
              <w:rPr>
                <w:rFonts w:hint="default" w:ascii="Times New Roman" w:hAnsi="Times New Roman" w:eastAsia="宋体" w:cs="Times New Roman"/>
                <w:vertAlign w:val="superscript"/>
              </w:rPr>
              <w:t>3</w:t>
            </w:r>
          </w:p>
        </w:tc>
      </w:tr>
      <w:tr w14:paraId="4410C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1280" w:type="pct"/>
            <w:noWrap w:val="0"/>
            <w:vAlign w:val="center"/>
          </w:tcPr>
          <w:p w14:paraId="2CBCF38A">
            <w:pPr>
              <w:pStyle w:val="24"/>
              <w:spacing w:before="78" w:beforeLines="25" w:after="78" w:afterLines="25" w:line="360" w:lineRule="auto"/>
              <w:jc w:val="center"/>
              <w:rPr>
                <w:rFonts w:hint="default" w:ascii="Times New Roman" w:hAnsi="Times New Roman" w:eastAsia="宋体" w:cs="Times New Roman"/>
              </w:rPr>
            </w:pPr>
            <w:r>
              <w:rPr>
                <w:rFonts w:hint="default" w:ascii="Times New Roman" w:hAnsi="Times New Roman" w:eastAsia="宋体" w:cs="Times New Roman"/>
              </w:rPr>
              <w:t>数值</w:t>
            </w:r>
          </w:p>
        </w:tc>
        <w:tc>
          <w:tcPr>
            <w:tcW w:w="1825" w:type="pct"/>
            <w:noWrap w:val="0"/>
            <w:vAlign w:val="center"/>
          </w:tcPr>
          <w:p w14:paraId="1B3D16CF">
            <w:pPr>
              <w:pStyle w:val="24"/>
              <w:spacing w:before="78" w:beforeLines="25" w:after="78" w:afterLines="25" w:line="360" w:lineRule="auto"/>
              <w:jc w:val="center"/>
              <w:rPr>
                <w:rFonts w:hint="default" w:ascii="Times New Roman" w:hAnsi="Times New Roman" w:eastAsia="宋体" w:cs="Times New Roman"/>
              </w:rPr>
            </w:pPr>
            <w:r>
              <w:rPr>
                <w:rFonts w:hint="default" w:ascii="Times New Roman" w:hAnsi="Times New Roman" w:eastAsia="宋体" w:cs="Times New Roman"/>
              </w:rPr>
              <w:t>填报数据</w:t>
            </w:r>
          </w:p>
        </w:tc>
        <w:tc>
          <w:tcPr>
            <w:tcW w:w="1895" w:type="pct"/>
            <w:noWrap w:val="0"/>
            <w:vAlign w:val="center"/>
          </w:tcPr>
          <w:p w14:paraId="081FE691">
            <w:pPr>
              <w:pStyle w:val="24"/>
              <w:spacing w:before="78" w:beforeLines="25" w:after="78" w:afterLines="25" w:line="360" w:lineRule="auto"/>
              <w:jc w:val="center"/>
              <w:rPr>
                <w:rFonts w:hint="default" w:ascii="Times New Roman" w:hAnsi="Times New Roman" w:eastAsia="宋体" w:cs="Times New Roman"/>
                <w:lang w:val="en-US" w:eastAsia="zh-CN"/>
              </w:rPr>
            </w:pPr>
            <w:r>
              <w:rPr>
                <w:rFonts w:hint="eastAsia" w:eastAsia="宋体" w:cs="Times New Roman"/>
                <w:lang w:val="en-US" w:eastAsia="zh-CN"/>
              </w:rPr>
              <w:t>0.69</w:t>
            </w:r>
          </w:p>
        </w:tc>
      </w:tr>
      <w:tr w14:paraId="0A6DD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0" w:type="pct"/>
            <w:noWrap w:val="0"/>
            <w:vAlign w:val="center"/>
          </w:tcPr>
          <w:p w14:paraId="6BD015CE">
            <w:pPr>
              <w:pStyle w:val="24"/>
              <w:spacing w:before="78" w:beforeLines="25" w:after="78" w:afterLines="25" w:line="360" w:lineRule="auto"/>
              <w:jc w:val="center"/>
              <w:rPr>
                <w:rFonts w:hint="default" w:ascii="Times New Roman" w:hAnsi="Times New Roman" w:eastAsia="宋体" w:cs="Times New Roman"/>
              </w:rPr>
            </w:pPr>
            <w:r>
              <w:rPr>
                <w:rFonts w:hint="default" w:ascii="Times New Roman" w:hAnsi="Times New Roman" w:eastAsia="宋体" w:cs="Times New Roman"/>
              </w:rPr>
              <w:t>数据来源</w:t>
            </w:r>
          </w:p>
        </w:tc>
        <w:tc>
          <w:tcPr>
            <w:tcW w:w="3720" w:type="pct"/>
            <w:gridSpan w:val="2"/>
            <w:noWrap w:val="0"/>
            <w:vAlign w:val="center"/>
          </w:tcPr>
          <w:p w14:paraId="705C1312">
            <w:pPr>
              <w:pStyle w:val="24"/>
              <w:spacing w:before="78" w:beforeLines="25" w:after="78" w:afterLines="25" w:line="360" w:lineRule="auto"/>
              <w:jc w:val="center"/>
              <w:rPr>
                <w:rFonts w:hint="default" w:ascii="Times New Roman" w:hAnsi="Times New Roman" w:eastAsia="宋体" w:cs="Times New Roman"/>
              </w:rPr>
            </w:pPr>
            <w:r>
              <w:rPr>
                <w:rFonts w:hint="default" w:ascii="Times New Roman" w:hAnsi="Times New Roman" w:eastAsia="宋体" w:cs="Times New Roman"/>
              </w:rPr>
              <w:t>流量计计量</w:t>
            </w:r>
          </w:p>
        </w:tc>
      </w:tr>
      <w:tr w14:paraId="6F5C3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1280" w:type="pct"/>
            <w:noWrap w:val="0"/>
            <w:vAlign w:val="center"/>
          </w:tcPr>
          <w:p w14:paraId="5B8D7D08">
            <w:pPr>
              <w:pStyle w:val="24"/>
              <w:spacing w:before="78" w:beforeLines="25" w:after="78" w:afterLines="25" w:line="360" w:lineRule="auto"/>
              <w:jc w:val="center"/>
              <w:rPr>
                <w:rFonts w:hint="default" w:ascii="Times New Roman" w:hAnsi="Times New Roman" w:eastAsia="宋体" w:cs="Times New Roman"/>
              </w:rPr>
            </w:pPr>
            <w:r>
              <w:rPr>
                <w:rFonts w:hint="default" w:ascii="Times New Roman" w:hAnsi="Times New Roman" w:eastAsia="宋体" w:cs="Times New Roman"/>
              </w:rPr>
              <w:t>监测方法</w:t>
            </w:r>
          </w:p>
        </w:tc>
        <w:tc>
          <w:tcPr>
            <w:tcW w:w="3720" w:type="pct"/>
            <w:gridSpan w:val="2"/>
            <w:noWrap w:val="0"/>
            <w:vAlign w:val="center"/>
          </w:tcPr>
          <w:p w14:paraId="08E750C1">
            <w:pPr>
              <w:pStyle w:val="24"/>
              <w:spacing w:before="78" w:beforeLines="25" w:after="78" w:afterLines="25" w:line="360" w:lineRule="auto"/>
              <w:jc w:val="center"/>
              <w:rPr>
                <w:rFonts w:hint="default" w:ascii="Times New Roman" w:hAnsi="Times New Roman" w:eastAsia="宋体" w:cs="Times New Roman"/>
              </w:rPr>
            </w:pPr>
            <w:r>
              <w:rPr>
                <w:rFonts w:hint="default" w:ascii="Times New Roman" w:hAnsi="Times New Roman" w:eastAsia="宋体" w:cs="Times New Roman"/>
              </w:rPr>
              <w:t>超声波流量计</w:t>
            </w:r>
          </w:p>
        </w:tc>
      </w:tr>
      <w:tr w14:paraId="72A8B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0" w:type="pct"/>
            <w:noWrap w:val="0"/>
            <w:vAlign w:val="center"/>
          </w:tcPr>
          <w:p w14:paraId="78FB5043">
            <w:pPr>
              <w:pStyle w:val="24"/>
              <w:spacing w:before="78" w:beforeLines="25" w:after="78" w:afterLines="25" w:line="360" w:lineRule="auto"/>
              <w:jc w:val="center"/>
              <w:rPr>
                <w:rFonts w:hint="default" w:ascii="Times New Roman" w:hAnsi="Times New Roman" w:eastAsia="宋体" w:cs="Times New Roman"/>
              </w:rPr>
            </w:pPr>
            <w:r>
              <w:rPr>
                <w:rFonts w:hint="default" w:ascii="Times New Roman" w:hAnsi="Times New Roman" w:eastAsia="宋体" w:cs="Times New Roman"/>
              </w:rPr>
              <w:t>监测频次</w:t>
            </w:r>
          </w:p>
        </w:tc>
        <w:tc>
          <w:tcPr>
            <w:tcW w:w="3720" w:type="pct"/>
            <w:gridSpan w:val="2"/>
            <w:noWrap w:val="0"/>
            <w:vAlign w:val="center"/>
          </w:tcPr>
          <w:p w14:paraId="5A408CEA">
            <w:pPr>
              <w:pStyle w:val="24"/>
              <w:spacing w:before="78" w:beforeLines="25" w:after="78" w:afterLines="25" w:line="360" w:lineRule="auto"/>
              <w:jc w:val="center"/>
              <w:rPr>
                <w:rFonts w:hint="default" w:ascii="Times New Roman" w:hAnsi="Times New Roman" w:eastAsia="宋体" w:cs="Times New Roman"/>
              </w:rPr>
            </w:pPr>
            <w:r>
              <w:rPr>
                <w:rFonts w:hint="default" w:ascii="Times New Roman" w:hAnsi="Times New Roman" w:eastAsia="宋体" w:cs="Times New Roman"/>
              </w:rPr>
              <w:t>连续监测</w:t>
            </w:r>
          </w:p>
        </w:tc>
      </w:tr>
      <w:tr w14:paraId="73982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0" w:type="pct"/>
            <w:noWrap w:val="0"/>
            <w:vAlign w:val="center"/>
          </w:tcPr>
          <w:p w14:paraId="338CA1AE">
            <w:pPr>
              <w:pStyle w:val="24"/>
              <w:spacing w:before="78" w:beforeLines="25" w:after="78" w:afterLines="25" w:line="360" w:lineRule="auto"/>
              <w:jc w:val="center"/>
              <w:rPr>
                <w:rFonts w:hint="default" w:ascii="Times New Roman" w:hAnsi="Times New Roman" w:eastAsia="宋体" w:cs="Times New Roman"/>
              </w:rPr>
            </w:pPr>
            <w:r>
              <w:rPr>
                <w:rFonts w:hint="default" w:ascii="Times New Roman" w:hAnsi="Times New Roman" w:eastAsia="宋体" w:cs="Times New Roman"/>
              </w:rPr>
              <w:t>数据缺失处理</w:t>
            </w:r>
          </w:p>
        </w:tc>
        <w:tc>
          <w:tcPr>
            <w:tcW w:w="3720" w:type="pct"/>
            <w:gridSpan w:val="2"/>
            <w:noWrap w:val="0"/>
            <w:vAlign w:val="center"/>
          </w:tcPr>
          <w:p w14:paraId="6ADFCBC2">
            <w:pPr>
              <w:pStyle w:val="24"/>
              <w:spacing w:before="78" w:beforeLines="25" w:after="78" w:afterLines="25" w:line="360" w:lineRule="auto"/>
              <w:jc w:val="center"/>
              <w:rPr>
                <w:rFonts w:hint="default" w:ascii="Times New Roman" w:hAnsi="Times New Roman" w:eastAsia="宋体" w:cs="Times New Roman"/>
              </w:rPr>
            </w:pPr>
            <w:r>
              <w:rPr>
                <w:rFonts w:hint="default" w:ascii="Times New Roman" w:hAnsi="Times New Roman" w:eastAsia="宋体" w:cs="Times New Roman"/>
              </w:rPr>
              <w:t>财务缴款发票和单据</w:t>
            </w:r>
          </w:p>
        </w:tc>
      </w:tr>
    </w:tbl>
    <w:p w14:paraId="2E374CCE">
      <w:pPr>
        <w:bidi w:val="0"/>
        <w:rPr>
          <w:rFonts w:hint="default"/>
          <w:sz w:val="18"/>
          <w:szCs w:val="18"/>
        </w:rPr>
      </w:pPr>
      <w:bookmarkStart w:id="14" w:name="_Toc9295"/>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1"/>
        <w:gridCol w:w="3111"/>
        <w:gridCol w:w="3230"/>
      </w:tblGrid>
      <w:tr w14:paraId="45612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0" w:type="pct"/>
            <w:noWrap w:val="0"/>
            <w:vAlign w:val="center"/>
          </w:tcPr>
          <w:p w14:paraId="7A11D29B">
            <w:pPr>
              <w:pStyle w:val="24"/>
              <w:spacing w:before="78" w:beforeLines="25" w:after="78" w:afterLines="25" w:line="360" w:lineRule="auto"/>
              <w:jc w:val="center"/>
              <w:rPr>
                <w:rFonts w:hint="default" w:ascii="Times New Roman" w:hAnsi="Times New Roman" w:eastAsia="宋体" w:cs="Times New Roman"/>
              </w:rPr>
            </w:pPr>
            <w:r>
              <w:rPr>
                <w:rFonts w:hint="default" w:ascii="Times New Roman" w:hAnsi="Times New Roman" w:eastAsia="宋体" w:cs="Times New Roman"/>
              </w:rPr>
              <w:t>数据名称</w:t>
            </w:r>
          </w:p>
        </w:tc>
        <w:tc>
          <w:tcPr>
            <w:tcW w:w="3720" w:type="pct"/>
            <w:gridSpan w:val="2"/>
            <w:noWrap w:val="0"/>
            <w:vAlign w:val="center"/>
          </w:tcPr>
          <w:p w14:paraId="44A9E11F">
            <w:pPr>
              <w:pStyle w:val="24"/>
              <w:spacing w:before="78" w:beforeLines="25" w:after="78" w:afterLines="25" w:line="360" w:lineRule="auto"/>
              <w:jc w:val="center"/>
              <w:rPr>
                <w:rFonts w:hint="default" w:ascii="Times New Roman" w:hAnsi="Times New Roman" w:eastAsia="宋体" w:cs="Times New Roman"/>
              </w:rPr>
            </w:pPr>
            <w:r>
              <w:rPr>
                <w:rFonts w:hint="eastAsia" w:eastAsia="宋体" w:cs="Times New Roman"/>
                <w:lang w:val="en-US" w:eastAsia="zh-CN"/>
              </w:rPr>
              <w:t>柴油</w:t>
            </w:r>
            <w:r>
              <w:rPr>
                <w:rFonts w:hint="default" w:ascii="Times New Roman" w:hAnsi="Times New Roman" w:eastAsia="宋体" w:cs="Times New Roman"/>
              </w:rPr>
              <w:t>消耗量</w:t>
            </w:r>
          </w:p>
        </w:tc>
      </w:tr>
      <w:tr w14:paraId="6F560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0" w:type="pct"/>
            <w:noWrap w:val="0"/>
            <w:vAlign w:val="center"/>
          </w:tcPr>
          <w:p w14:paraId="50C801EB">
            <w:pPr>
              <w:pStyle w:val="24"/>
              <w:spacing w:before="78" w:beforeLines="25" w:after="78" w:afterLines="25" w:line="360" w:lineRule="auto"/>
              <w:jc w:val="center"/>
              <w:rPr>
                <w:rFonts w:hint="default" w:ascii="Times New Roman" w:hAnsi="Times New Roman" w:eastAsia="宋体" w:cs="Times New Roman"/>
              </w:rPr>
            </w:pPr>
            <w:r>
              <w:rPr>
                <w:rFonts w:hint="default" w:ascii="Times New Roman" w:hAnsi="Times New Roman" w:eastAsia="宋体" w:cs="Times New Roman"/>
              </w:rPr>
              <w:t>单位</w:t>
            </w:r>
          </w:p>
        </w:tc>
        <w:tc>
          <w:tcPr>
            <w:tcW w:w="3720" w:type="pct"/>
            <w:gridSpan w:val="2"/>
            <w:noWrap w:val="0"/>
            <w:vAlign w:val="center"/>
          </w:tcPr>
          <w:p w14:paraId="551FB066">
            <w:pPr>
              <w:pStyle w:val="24"/>
              <w:spacing w:before="78" w:beforeLines="25" w:after="78" w:afterLines="25" w:line="360" w:lineRule="auto"/>
              <w:jc w:val="center"/>
              <w:rPr>
                <w:rFonts w:hint="default" w:ascii="Times New Roman" w:hAnsi="Times New Roman" w:eastAsia="宋体" w:cs="Times New Roman"/>
              </w:rPr>
            </w:pPr>
            <w:r>
              <w:rPr>
                <w:rFonts w:hint="default" w:ascii="Times New Roman" w:hAnsi="Times New Roman" w:eastAsia="宋体" w:cs="Times New Roman"/>
              </w:rPr>
              <w:t>10</w:t>
            </w:r>
            <w:r>
              <w:rPr>
                <w:rFonts w:hint="default" w:ascii="Times New Roman" w:hAnsi="Times New Roman" w:eastAsia="宋体" w:cs="Times New Roman"/>
                <w:vertAlign w:val="superscript"/>
              </w:rPr>
              <w:t>4</w:t>
            </w:r>
            <w:r>
              <w:rPr>
                <w:rFonts w:hint="default" w:ascii="Times New Roman" w:hAnsi="Times New Roman" w:eastAsia="宋体" w:cs="Times New Roman"/>
              </w:rPr>
              <w:t>Nm</w:t>
            </w:r>
            <w:r>
              <w:rPr>
                <w:rFonts w:hint="default" w:ascii="Times New Roman" w:hAnsi="Times New Roman" w:eastAsia="宋体" w:cs="Times New Roman"/>
                <w:vertAlign w:val="superscript"/>
              </w:rPr>
              <w:t>3</w:t>
            </w:r>
          </w:p>
        </w:tc>
      </w:tr>
      <w:tr w14:paraId="359C9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1280" w:type="pct"/>
            <w:noWrap w:val="0"/>
            <w:vAlign w:val="center"/>
          </w:tcPr>
          <w:p w14:paraId="0787D7DA">
            <w:pPr>
              <w:pStyle w:val="24"/>
              <w:spacing w:before="78" w:beforeLines="25" w:after="78" w:afterLines="25" w:line="360" w:lineRule="auto"/>
              <w:jc w:val="center"/>
              <w:rPr>
                <w:rFonts w:hint="default" w:ascii="Times New Roman" w:hAnsi="Times New Roman" w:eastAsia="宋体" w:cs="Times New Roman"/>
              </w:rPr>
            </w:pPr>
            <w:r>
              <w:rPr>
                <w:rFonts w:hint="default" w:ascii="Times New Roman" w:hAnsi="Times New Roman" w:eastAsia="宋体" w:cs="Times New Roman"/>
              </w:rPr>
              <w:t>数值</w:t>
            </w:r>
          </w:p>
        </w:tc>
        <w:tc>
          <w:tcPr>
            <w:tcW w:w="1825" w:type="pct"/>
            <w:noWrap w:val="0"/>
            <w:vAlign w:val="center"/>
          </w:tcPr>
          <w:p w14:paraId="3FF47AE4">
            <w:pPr>
              <w:pStyle w:val="24"/>
              <w:spacing w:before="78" w:beforeLines="25" w:after="78" w:afterLines="25" w:line="360" w:lineRule="auto"/>
              <w:jc w:val="center"/>
              <w:rPr>
                <w:rFonts w:hint="default" w:ascii="Times New Roman" w:hAnsi="Times New Roman" w:eastAsia="宋体" w:cs="Times New Roman"/>
              </w:rPr>
            </w:pPr>
            <w:r>
              <w:rPr>
                <w:rFonts w:hint="default" w:ascii="Times New Roman" w:hAnsi="Times New Roman" w:eastAsia="宋体" w:cs="Times New Roman"/>
              </w:rPr>
              <w:t>填报数据</w:t>
            </w:r>
          </w:p>
        </w:tc>
        <w:tc>
          <w:tcPr>
            <w:tcW w:w="1895" w:type="pct"/>
            <w:noWrap w:val="0"/>
            <w:vAlign w:val="center"/>
          </w:tcPr>
          <w:p w14:paraId="32BF3284">
            <w:pPr>
              <w:pStyle w:val="24"/>
              <w:spacing w:before="78" w:beforeLines="25" w:after="78" w:afterLines="25" w:line="360" w:lineRule="auto"/>
              <w:jc w:val="center"/>
              <w:rPr>
                <w:rFonts w:hint="default" w:ascii="Times New Roman" w:hAnsi="Times New Roman" w:eastAsia="宋体" w:cs="Times New Roman"/>
                <w:lang w:val="en-US" w:eastAsia="zh-CN"/>
              </w:rPr>
            </w:pPr>
            <w:r>
              <w:rPr>
                <w:rFonts w:hint="eastAsia" w:ascii="Times New Roman" w:hAnsi="Times New Roman" w:eastAsia="宋体" w:cs="Times New Roman"/>
                <w:color w:val="000000"/>
                <w:kern w:val="0"/>
                <w:sz w:val="24"/>
                <w:szCs w:val="24"/>
                <w:lang w:val="en-US" w:eastAsia="zh-CN"/>
              </w:rPr>
              <w:t>0.0097</w:t>
            </w:r>
          </w:p>
        </w:tc>
      </w:tr>
      <w:tr w14:paraId="20301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0" w:type="pct"/>
            <w:noWrap w:val="0"/>
            <w:vAlign w:val="center"/>
          </w:tcPr>
          <w:p w14:paraId="1338E113">
            <w:pPr>
              <w:pStyle w:val="24"/>
              <w:spacing w:before="78" w:beforeLines="25" w:after="78" w:afterLines="25" w:line="360" w:lineRule="auto"/>
              <w:jc w:val="center"/>
              <w:rPr>
                <w:rFonts w:hint="default" w:ascii="Times New Roman" w:hAnsi="Times New Roman" w:eastAsia="宋体" w:cs="Times New Roman"/>
              </w:rPr>
            </w:pPr>
            <w:r>
              <w:rPr>
                <w:rFonts w:hint="default" w:ascii="Times New Roman" w:hAnsi="Times New Roman" w:eastAsia="宋体" w:cs="Times New Roman"/>
              </w:rPr>
              <w:t>数据来源</w:t>
            </w:r>
          </w:p>
        </w:tc>
        <w:tc>
          <w:tcPr>
            <w:tcW w:w="3720" w:type="pct"/>
            <w:gridSpan w:val="2"/>
            <w:noWrap w:val="0"/>
            <w:vAlign w:val="center"/>
          </w:tcPr>
          <w:p w14:paraId="2218C838">
            <w:pPr>
              <w:pStyle w:val="24"/>
              <w:spacing w:before="78" w:beforeLines="25" w:after="78" w:afterLines="25" w:line="360" w:lineRule="auto"/>
              <w:jc w:val="center"/>
              <w:rPr>
                <w:rFonts w:hint="default" w:ascii="Times New Roman" w:hAnsi="Times New Roman" w:eastAsia="宋体" w:cs="Times New Roman"/>
              </w:rPr>
            </w:pPr>
            <w:r>
              <w:rPr>
                <w:rFonts w:hint="eastAsia" w:eastAsia="宋体" w:cs="Times New Roman"/>
                <w:lang w:val="en-US" w:eastAsia="zh-CN"/>
              </w:rPr>
              <w:t>液位</w:t>
            </w:r>
            <w:r>
              <w:rPr>
                <w:rFonts w:hint="default" w:ascii="Times New Roman" w:hAnsi="Times New Roman" w:eastAsia="宋体" w:cs="Times New Roman"/>
              </w:rPr>
              <w:t>计计量</w:t>
            </w:r>
          </w:p>
        </w:tc>
      </w:tr>
      <w:tr w14:paraId="7182F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1280" w:type="pct"/>
            <w:noWrap w:val="0"/>
            <w:vAlign w:val="center"/>
          </w:tcPr>
          <w:p w14:paraId="0F88B880">
            <w:pPr>
              <w:pStyle w:val="24"/>
              <w:spacing w:before="78" w:beforeLines="25" w:after="78" w:afterLines="25" w:line="360" w:lineRule="auto"/>
              <w:jc w:val="center"/>
              <w:rPr>
                <w:rFonts w:hint="default" w:ascii="Times New Roman" w:hAnsi="Times New Roman" w:eastAsia="宋体" w:cs="Times New Roman"/>
              </w:rPr>
            </w:pPr>
            <w:r>
              <w:rPr>
                <w:rFonts w:hint="default" w:ascii="Times New Roman" w:hAnsi="Times New Roman" w:eastAsia="宋体" w:cs="Times New Roman"/>
              </w:rPr>
              <w:t>监测方法</w:t>
            </w:r>
          </w:p>
        </w:tc>
        <w:tc>
          <w:tcPr>
            <w:tcW w:w="3720" w:type="pct"/>
            <w:gridSpan w:val="2"/>
            <w:noWrap w:val="0"/>
            <w:vAlign w:val="center"/>
          </w:tcPr>
          <w:p w14:paraId="3113199B">
            <w:pPr>
              <w:pStyle w:val="24"/>
              <w:spacing w:before="78" w:beforeLines="25" w:after="78" w:afterLines="25" w:line="360" w:lineRule="auto"/>
              <w:jc w:val="center"/>
              <w:rPr>
                <w:rFonts w:hint="default" w:ascii="Times New Roman" w:hAnsi="Times New Roman" w:eastAsia="宋体" w:cs="Times New Roman"/>
                <w:lang w:val="en-US" w:eastAsia="zh-CN"/>
              </w:rPr>
            </w:pPr>
            <w:r>
              <w:rPr>
                <w:rFonts w:hint="eastAsia" w:eastAsia="宋体" w:cs="Times New Roman"/>
                <w:lang w:val="en-US" w:eastAsia="zh-CN"/>
              </w:rPr>
              <w:t>液位监测</w:t>
            </w:r>
          </w:p>
        </w:tc>
      </w:tr>
      <w:tr w14:paraId="45546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0" w:type="pct"/>
            <w:noWrap w:val="0"/>
            <w:vAlign w:val="center"/>
          </w:tcPr>
          <w:p w14:paraId="7222B6F9">
            <w:pPr>
              <w:pStyle w:val="24"/>
              <w:spacing w:before="78" w:beforeLines="25" w:after="78" w:afterLines="25" w:line="360" w:lineRule="auto"/>
              <w:jc w:val="center"/>
              <w:rPr>
                <w:rFonts w:hint="default" w:ascii="Times New Roman" w:hAnsi="Times New Roman" w:eastAsia="宋体" w:cs="Times New Roman"/>
              </w:rPr>
            </w:pPr>
            <w:r>
              <w:rPr>
                <w:rFonts w:hint="default" w:ascii="Times New Roman" w:hAnsi="Times New Roman" w:eastAsia="宋体" w:cs="Times New Roman"/>
              </w:rPr>
              <w:t>监测频次</w:t>
            </w:r>
          </w:p>
        </w:tc>
        <w:tc>
          <w:tcPr>
            <w:tcW w:w="3720" w:type="pct"/>
            <w:gridSpan w:val="2"/>
            <w:noWrap w:val="0"/>
            <w:vAlign w:val="center"/>
          </w:tcPr>
          <w:p w14:paraId="4B96CADB">
            <w:pPr>
              <w:pStyle w:val="24"/>
              <w:spacing w:before="78" w:beforeLines="25" w:after="78" w:afterLines="25" w:line="360" w:lineRule="auto"/>
              <w:jc w:val="center"/>
              <w:rPr>
                <w:rFonts w:hint="default" w:ascii="Times New Roman" w:hAnsi="Times New Roman" w:eastAsia="宋体" w:cs="Times New Roman"/>
                <w:lang w:val="en-US" w:eastAsia="zh-CN"/>
              </w:rPr>
            </w:pPr>
            <w:r>
              <w:rPr>
                <w:rFonts w:hint="eastAsia" w:eastAsia="宋体" w:cs="Times New Roman"/>
                <w:lang w:val="en-US" w:eastAsia="zh-CN"/>
              </w:rPr>
              <w:t>每周一检</w:t>
            </w:r>
          </w:p>
        </w:tc>
      </w:tr>
      <w:tr w14:paraId="08125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0" w:type="pct"/>
            <w:noWrap w:val="0"/>
            <w:vAlign w:val="center"/>
          </w:tcPr>
          <w:p w14:paraId="0DCACB5B">
            <w:pPr>
              <w:pStyle w:val="24"/>
              <w:spacing w:before="78" w:beforeLines="25" w:after="78" w:afterLines="25" w:line="360" w:lineRule="auto"/>
              <w:jc w:val="center"/>
              <w:rPr>
                <w:rFonts w:hint="default" w:ascii="Times New Roman" w:hAnsi="Times New Roman" w:eastAsia="宋体" w:cs="Times New Roman"/>
              </w:rPr>
            </w:pPr>
            <w:r>
              <w:rPr>
                <w:rFonts w:hint="default" w:ascii="Times New Roman" w:hAnsi="Times New Roman" w:eastAsia="宋体" w:cs="Times New Roman"/>
              </w:rPr>
              <w:t>数据缺失处理</w:t>
            </w:r>
          </w:p>
        </w:tc>
        <w:tc>
          <w:tcPr>
            <w:tcW w:w="3720" w:type="pct"/>
            <w:gridSpan w:val="2"/>
            <w:noWrap w:val="0"/>
            <w:vAlign w:val="center"/>
          </w:tcPr>
          <w:p w14:paraId="5FAA3FB7">
            <w:pPr>
              <w:pStyle w:val="24"/>
              <w:spacing w:before="78" w:beforeLines="25" w:after="78" w:afterLines="25" w:line="360" w:lineRule="auto"/>
              <w:jc w:val="center"/>
              <w:rPr>
                <w:rFonts w:hint="eastAsia" w:ascii="Times New Roman" w:hAnsi="Times New Roman" w:eastAsia="宋体" w:cs="Times New Roman"/>
                <w:lang w:eastAsia="zh-CN"/>
              </w:rPr>
            </w:pPr>
            <w:r>
              <w:rPr>
                <w:rFonts w:hint="eastAsia" w:eastAsia="宋体" w:cs="Times New Roman"/>
                <w:lang w:val="en-US" w:eastAsia="zh-CN"/>
              </w:rPr>
              <w:t>无缺失</w:t>
            </w:r>
          </w:p>
        </w:tc>
      </w:tr>
    </w:tbl>
    <w:p w14:paraId="29AB11FE">
      <w:pPr>
        <w:pStyle w:val="5"/>
        <w:bidi w:val="0"/>
        <w:rPr>
          <w:rFonts w:hint="default"/>
        </w:rPr>
      </w:pPr>
      <w:r>
        <w:rPr>
          <w:rFonts w:hint="default"/>
        </w:rPr>
        <w:t>4.</w:t>
      </w:r>
      <w:r>
        <w:rPr>
          <w:rFonts w:hint="default"/>
          <w:lang w:val="en-US" w:eastAsia="zh-CN"/>
        </w:rPr>
        <w:t>2</w:t>
      </w:r>
      <w:r>
        <w:rPr>
          <w:rFonts w:hint="default"/>
        </w:rPr>
        <w:t xml:space="preserve"> 净购入电力活动水平数据及来源</w:t>
      </w:r>
      <w:bookmarkEnd w:id="14"/>
    </w:p>
    <w:p w14:paraId="404D62DE">
      <w:pPr>
        <w:pStyle w:val="27"/>
        <w:bidi w:val="0"/>
        <w:rPr>
          <w:rFonts w:hint="default" w:ascii="Times New Roman" w:hAnsi="Times New Roman"/>
        </w:rPr>
      </w:pPr>
      <w:r>
        <w:rPr>
          <w:rFonts w:hint="default" w:ascii="Times New Roman" w:hAnsi="Times New Roman"/>
        </w:rPr>
        <w:t>表4-</w:t>
      </w:r>
      <w:r>
        <w:rPr>
          <w:rFonts w:hint="default" w:ascii="Times New Roman" w:hAnsi="Times New Roman"/>
          <w:lang w:val="en-US" w:eastAsia="zh-CN"/>
        </w:rPr>
        <w:t>2</w:t>
      </w:r>
      <w:r>
        <w:rPr>
          <w:rFonts w:hint="default" w:ascii="Times New Roman" w:hAnsi="Times New Roman"/>
        </w:rPr>
        <w:t xml:space="preserve">  净购入电力活动水平数据及来源表</w:t>
      </w:r>
    </w:p>
    <w:tbl>
      <w:tblPr>
        <w:tblStyle w:val="11"/>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535"/>
        <w:gridCol w:w="5781"/>
      </w:tblGrid>
      <w:tr w14:paraId="5E19D4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524" w:type="pct"/>
            <w:vMerge w:val="restart"/>
            <w:tcBorders>
              <w:tl2br w:val="nil"/>
              <w:tr2bl w:val="nil"/>
            </w:tcBorders>
            <w:noWrap w:val="0"/>
            <w:vAlign w:val="center"/>
          </w:tcPr>
          <w:p w14:paraId="48B25852">
            <w:pPr>
              <w:widowControl/>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数据值</w:t>
            </w:r>
          </w:p>
        </w:tc>
        <w:tc>
          <w:tcPr>
            <w:tcW w:w="3476" w:type="pct"/>
            <w:tcBorders>
              <w:tl2br w:val="nil"/>
              <w:tr2bl w:val="nil"/>
            </w:tcBorders>
            <w:noWrap w:val="0"/>
            <w:vAlign w:val="center"/>
          </w:tcPr>
          <w:p w14:paraId="141DAAE2">
            <w:pPr>
              <w:widowControl/>
              <w:ind w:left="0" w:leftChars="0" w:firstLine="0" w:firstLineChars="0"/>
              <w:jc w:val="center"/>
              <w:rPr>
                <w:rFonts w:hint="eastAsia" w:ascii="Times New Roman" w:hAnsi="Times New Roman" w:eastAsia="宋体" w:cs="Times New Roman"/>
                <w:color w:val="000000"/>
                <w:kern w:val="0"/>
                <w:sz w:val="24"/>
                <w:szCs w:val="24"/>
                <w:lang w:eastAsia="zh-CN"/>
              </w:rPr>
            </w:pPr>
            <w:r>
              <w:rPr>
                <w:rFonts w:hint="eastAsia" w:ascii="Times New Roman" w:hAnsi="Times New Roman" w:eastAsia="宋体" w:cs="Times New Roman"/>
                <w:color w:val="000000"/>
                <w:kern w:val="0"/>
                <w:sz w:val="24"/>
                <w:szCs w:val="24"/>
                <w:lang w:eastAsia="zh-CN"/>
              </w:rPr>
              <w:t>2024年</w:t>
            </w:r>
          </w:p>
        </w:tc>
      </w:tr>
      <w:tr w14:paraId="03142C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524" w:type="pct"/>
            <w:vMerge w:val="continue"/>
            <w:tcBorders>
              <w:tl2br w:val="nil"/>
              <w:tr2bl w:val="nil"/>
            </w:tcBorders>
            <w:noWrap w:val="0"/>
            <w:vAlign w:val="center"/>
          </w:tcPr>
          <w:p w14:paraId="5CF72DEB">
            <w:pPr>
              <w:widowControl/>
              <w:jc w:val="center"/>
              <w:rPr>
                <w:rFonts w:hint="default" w:ascii="Times New Roman" w:hAnsi="Times New Roman" w:eastAsia="宋体" w:cs="Times New Roman"/>
                <w:color w:val="000000"/>
                <w:kern w:val="0"/>
                <w:sz w:val="24"/>
                <w:szCs w:val="24"/>
              </w:rPr>
            </w:pPr>
          </w:p>
        </w:tc>
        <w:tc>
          <w:tcPr>
            <w:tcW w:w="3476" w:type="pct"/>
            <w:tcBorders>
              <w:tl2br w:val="nil"/>
              <w:tr2bl w:val="nil"/>
            </w:tcBorders>
            <w:noWrap w:val="0"/>
            <w:vAlign w:val="center"/>
          </w:tcPr>
          <w:p w14:paraId="38A55CCD">
            <w:pPr>
              <w:widowControl/>
              <w:ind w:left="0" w:leftChars="0" w:firstLine="0" w:firstLineChars="0"/>
              <w:jc w:val="center"/>
              <w:rPr>
                <w:rFonts w:hint="default" w:ascii="Times New Roman" w:hAnsi="Times New Roman" w:eastAsia="宋体" w:cs="Times New Roman"/>
                <w:color w:val="000000"/>
                <w:kern w:val="0"/>
                <w:sz w:val="24"/>
                <w:szCs w:val="24"/>
                <w:lang w:val="en-US"/>
              </w:rPr>
            </w:pPr>
            <w:r>
              <w:rPr>
                <w:rFonts w:hint="eastAsia" w:ascii="Times New Roman" w:hAnsi="Times New Roman" w:cs="Times New Roman"/>
                <w:color w:val="000000"/>
                <w:sz w:val="24"/>
                <w:szCs w:val="24"/>
                <w:lang w:val="en-US" w:eastAsia="zh-CN"/>
              </w:rPr>
              <w:t>5710</w:t>
            </w:r>
          </w:p>
        </w:tc>
      </w:tr>
      <w:tr w14:paraId="56D7C2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524" w:type="pct"/>
            <w:tcBorders>
              <w:tl2br w:val="nil"/>
              <w:tr2bl w:val="nil"/>
            </w:tcBorders>
            <w:noWrap w:val="0"/>
            <w:vAlign w:val="center"/>
          </w:tcPr>
          <w:p w14:paraId="660C2B54">
            <w:pPr>
              <w:widowControl/>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数据项</w:t>
            </w:r>
          </w:p>
        </w:tc>
        <w:tc>
          <w:tcPr>
            <w:tcW w:w="3476" w:type="pct"/>
            <w:tcBorders>
              <w:tl2br w:val="nil"/>
              <w:tr2bl w:val="nil"/>
            </w:tcBorders>
            <w:noWrap w:val="0"/>
            <w:vAlign w:val="center"/>
          </w:tcPr>
          <w:p w14:paraId="0ACF9CB4">
            <w:pPr>
              <w:widowControl/>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净购入电力消耗量(AD</w:t>
            </w:r>
            <w:r>
              <w:rPr>
                <w:rFonts w:hint="default" w:ascii="Times New Roman" w:hAnsi="Times New Roman" w:eastAsia="宋体" w:cs="Times New Roman"/>
                <w:color w:val="000000"/>
                <w:kern w:val="0"/>
                <w:sz w:val="24"/>
                <w:szCs w:val="24"/>
                <w:vertAlign w:val="subscript"/>
              </w:rPr>
              <w:t>电力</w:t>
            </w:r>
            <w:r>
              <w:rPr>
                <w:rFonts w:hint="default" w:ascii="Times New Roman" w:hAnsi="Times New Roman" w:eastAsia="宋体" w:cs="Times New Roman"/>
                <w:color w:val="000000"/>
                <w:kern w:val="0"/>
                <w:sz w:val="24"/>
                <w:szCs w:val="24"/>
              </w:rPr>
              <w:t>)</w:t>
            </w:r>
          </w:p>
        </w:tc>
      </w:tr>
      <w:tr w14:paraId="29DC6A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524" w:type="pct"/>
            <w:tcBorders>
              <w:tl2br w:val="nil"/>
              <w:tr2bl w:val="nil"/>
            </w:tcBorders>
            <w:noWrap w:val="0"/>
            <w:vAlign w:val="center"/>
          </w:tcPr>
          <w:p w14:paraId="41B8E729">
            <w:pPr>
              <w:widowControl/>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单位</w:t>
            </w:r>
          </w:p>
        </w:tc>
        <w:tc>
          <w:tcPr>
            <w:tcW w:w="3476" w:type="pct"/>
            <w:tcBorders>
              <w:tl2br w:val="nil"/>
              <w:tr2bl w:val="nil"/>
            </w:tcBorders>
            <w:noWrap w:val="0"/>
            <w:vAlign w:val="center"/>
          </w:tcPr>
          <w:p w14:paraId="1740261C">
            <w:pPr>
              <w:widowControl/>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MWh</w:t>
            </w:r>
          </w:p>
        </w:tc>
      </w:tr>
      <w:tr w14:paraId="46D320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524" w:type="pct"/>
            <w:tcBorders>
              <w:tl2br w:val="nil"/>
              <w:tr2bl w:val="nil"/>
            </w:tcBorders>
            <w:noWrap w:val="0"/>
            <w:vAlign w:val="center"/>
          </w:tcPr>
          <w:p w14:paraId="05FF0D7E">
            <w:pPr>
              <w:widowControl/>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数据来源</w:t>
            </w:r>
          </w:p>
        </w:tc>
        <w:tc>
          <w:tcPr>
            <w:tcW w:w="3476" w:type="pct"/>
            <w:tcBorders>
              <w:tl2br w:val="nil"/>
              <w:tr2bl w:val="nil"/>
            </w:tcBorders>
            <w:noWrap w:val="0"/>
            <w:vAlign w:val="center"/>
          </w:tcPr>
          <w:p w14:paraId="6014E6FD">
            <w:pPr>
              <w:widowControl/>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w:t>
            </w:r>
            <w:r>
              <w:rPr>
                <w:rFonts w:hint="eastAsia" w:ascii="Times New Roman" w:hAnsi="Times New Roman" w:eastAsia="宋体" w:cs="Times New Roman"/>
                <w:color w:val="000000"/>
                <w:kern w:val="0"/>
                <w:sz w:val="24"/>
                <w:szCs w:val="24"/>
                <w:lang w:eastAsia="zh-CN"/>
              </w:rPr>
              <w:t>2024年</w:t>
            </w:r>
            <w:r>
              <w:rPr>
                <w:rFonts w:hint="default" w:ascii="Times New Roman" w:hAnsi="Times New Roman" w:eastAsia="宋体" w:cs="Times New Roman"/>
                <w:color w:val="000000"/>
                <w:kern w:val="0"/>
                <w:sz w:val="24"/>
                <w:szCs w:val="24"/>
              </w:rPr>
              <w:t>电费明细账》</w:t>
            </w:r>
          </w:p>
        </w:tc>
      </w:tr>
      <w:tr w14:paraId="1A68A8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524" w:type="pct"/>
            <w:tcBorders>
              <w:tl2br w:val="nil"/>
              <w:tr2bl w:val="nil"/>
            </w:tcBorders>
            <w:noWrap w:val="0"/>
            <w:vAlign w:val="center"/>
          </w:tcPr>
          <w:p w14:paraId="6082D2AA">
            <w:pPr>
              <w:widowControl/>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监测方法</w:t>
            </w:r>
          </w:p>
        </w:tc>
        <w:tc>
          <w:tcPr>
            <w:tcW w:w="3476" w:type="pct"/>
            <w:tcBorders>
              <w:tl2br w:val="nil"/>
              <w:tr2bl w:val="nil"/>
            </w:tcBorders>
            <w:noWrap w:val="0"/>
            <w:vAlign w:val="center"/>
          </w:tcPr>
          <w:p w14:paraId="20963940">
            <w:pPr>
              <w:widowControl/>
              <w:ind w:left="0" w:lef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电能表</w:t>
            </w:r>
          </w:p>
        </w:tc>
      </w:tr>
      <w:tr w14:paraId="194489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524" w:type="pct"/>
            <w:tcBorders>
              <w:tl2br w:val="nil"/>
              <w:tr2bl w:val="nil"/>
            </w:tcBorders>
            <w:noWrap w:val="0"/>
            <w:vAlign w:val="center"/>
          </w:tcPr>
          <w:p w14:paraId="69BCBEB9">
            <w:pPr>
              <w:widowControl/>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监测频次</w:t>
            </w:r>
          </w:p>
        </w:tc>
        <w:tc>
          <w:tcPr>
            <w:tcW w:w="3476" w:type="pct"/>
            <w:tcBorders>
              <w:tl2br w:val="nil"/>
              <w:tr2bl w:val="nil"/>
            </w:tcBorders>
            <w:noWrap w:val="0"/>
            <w:vAlign w:val="center"/>
          </w:tcPr>
          <w:p w14:paraId="413F6C36">
            <w:pPr>
              <w:widowControl/>
              <w:ind w:left="0" w:lef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实时测量，电力公司每月结算</w:t>
            </w:r>
          </w:p>
        </w:tc>
      </w:tr>
      <w:tr w14:paraId="34A7DB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524" w:type="pct"/>
            <w:tcBorders>
              <w:tl2br w:val="nil"/>
              <w:tr2bl w:val="nil"/>
            </w:tcBorders>
            <w:noWrap w:val="0"/>
            <w:vAlign w:val="center"/>
          </w:tcPr>
          <w:p w14:paraId="3454A01B">
            <w:pPr>
              <w:widowControl/>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记录频次</w:t>
            </w:r>
          </w:p>
        </w:tc>
        <w:tc>
          <w:tcPr>
            <w:tcW w:w="3476" w:type="pct"/>
            <w:tcBorders>
              <w:tl2br w:val="nil"/>
              <w:tr2bl w:val="nil"/>
            </w:tcBorders>
            <w:noWrap w:val="0"/>
            <w:vAlign w:val="center"/>
          </w:tcPr>
          <w:p w14:paraId="57D07C69">
            <w:pPr>
              <w:widowControl/>
              <w:ind w:left="0" w:lef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每月汇总</w:t>
            </w:r>
          </w:p>
        </w:tc>
      </w:tr>
      <w:tr w14:paraId="1B2C6B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524" w:type="pct"/>
            <w:tcBorders>
              <w:tl2br w:val="nil"/>
              <w:tr2bl w:val="nil"/>
            </w:tcBorders>
            <w:noWrap w:val="0"/>
            <w:vAlign w:val="center"/>
          </w:tcPr>
          <w:p w14:paraId="731D97C7">
            <w:pPr>
              <w:widowControl/>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数据缺失处理</w:t>
            </w:r>
          </w:p>
        </w:tc>
        <w:tc>
          <w:tcPr>
            <w:tcW w:w="3476" w:type="pct"/>
            <w:tcBorders>
              <w:tl2br w:val="nil"/>
              <w:tr2bl w:val="nil"/>
            </w:tcBorders>
            <w:noWrap w:val="0"/>
            <w:vAlign w:val="center"/>
          </w:tcPr>
          <w:p w14:paraId="19F4FED8">
            <w:pPr>
              <w:widowControl/>
              <w:ind w:left="0" w:lef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财务缴款发票和单据</w:t>
            </w:r>
          </w:p>
        </w:tc>
      </w:tr>
    </w:tbl>
    <w:p w14:paraId="19E3A462">
      <w:pPr>
        <w:spacing w:line="360" w:lineRule="auto"/>
        <w:ind w:firstLine="480" w:firstLineChars="200"/>
        <w:jc w:val="left"/>
        <w:rPr>
          <w:rFonts w:hint="default" w:ascii="Times New Roman" w:hAnsi="Times New Roman" w:eastAsia="宋体" w:cs="Times New Roman"/>
          <w:sz w:val="24"/>
          <w:szCs w:val="24"/>
        </w:rPr>
      </w:pPr>
    </w:p>
    <w:p w14:paraId="1FD0D504">
      <w:pPr>
        <w:spacing w:line="360" w:lineRule="auto"/>
        <w:ind w:firstLine="480" w:firstLineChars="200"/>
        <w:jc w:val="left"/>
        <w:rPr>
          <w:rFonts w:hint="default" w:ascii="Times New Roman" w:hAnsi="Times New Roman" w:eastAsia="宋体" w:cs="Times New Roman"/>
          <w:sz w:val="24"/>
          <w:szCs w:val="24"/>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0B9E9CD5">
      <w:pPr>
        <w:pStyle w:val="4"/>
        <w:bidi w:val="0"/>
        <w:rPr>
          <w:rFonts w:hint="default"/>
        </w:rPr>
      </w:pPr>
      <w:bookmarkStart w:id="15" w:name="_Toc24849"/>
      <w:r>
        <w:rPr>
          <w:rFonts w:hint="default"/>
        </w:rPr>
        <w:t>5  排放因子数据及来源说明</w:t>
      </w:r>
      <w:bookmarkEnd w:id="15"/>
    </w:p>
    <w:p w14:paraId="3E13E0D2">
      <w:pPr>
        <w:pStyle w:val="5"/>
        <w:bidi w:val="0"/>
        <w:rPr>
          <w:rFonts w:hint="default"/>
        </w:rPr>
      </w:pPr>
      <w:bookmarkStart w:id="16" w:name="_Toc17117"/>
      <w:r>
        <w:rPr>
          <w:rFonts w:hint="default"/>
        </w:rPr>
        <w:t>5.1 化石燃料排放因子数据及来源</w:t>
      </w:r>
      <w:bookmarkEnd w:id="16"/>
    </w:p>
    <w:p w14:paraId="7760A297">
      <w:pPr>
        <w:pStyle w:val="27"/>
        <w:bidi w:val="0"/>
        <w:rPr>
          <w:rFonts w:hint="default"/>
        </w:rPr>
      </w:pPr>
      <w:r>
        <w:rPr>
          <w:rFonts w:hint="default"/>
        </w:rPr>
        <w:t xml:space="preserve">5-1  </w:t>
      </w:r>
      <w:r>
        <w:rPr>
          <w:rFonts w:hint="eastAsia"/>
          <w:lang w:val="en-US" w:eastAsia="zh-CN"/>
        </w:rPr>
        <w:t>柴油</w:t>
      </w:r>
      <w:r>
        <w:rPr>
          <w:rFonts w:hint="default"/>
        </w:rPr>
        <w:t>排放因子数据及来源表</w:t>
      </w:r>
    </w:p>
    <w:tbl>
      <w:tblPr>
        <w:tblStyle w:val="11"/>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899"/>
        <w:gridCol w:w="3822"/>
        <w:gridCol w:w="4059"/>
        <w:gridCol w:w="4188"/>
      </w:tblGrid>
      <w:tr w14:paraId="051A54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atLeast"/>
        </w:trPr>
        <w:tc>
          <w:tcPr>
            <w:tcW w:w="680" w:type="pct"/>
            <w:noWrap w:val="0"/>
            <w:vAlign w:val="center"/>
          </w:tcPr>
          <w:p w14:paraId="0B550D4C">
            <w:pPr>
              <w:widowControl/>
              <w:spacing w:line="360" w:lineRule="auto"/>
              <w:ind w:left="0" w:lef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数据值</w:t>
            </w:r>
          </w:p>
        </w:tc>
        <w:tc>
          <w:tcPr>
            <w:tcW w:w="1368" w:type="pct"/>
            <w:noWrap w:val="0"/>
            <w:vAlign w:val="center"/>
          </w:tcPr>
          <w:p w14:paraId="48014296">
            <w:pPr>
              <w:widowControl/>
              <w:spacing w:line="360" w:lineRule="auto"/>
              <w:ind w:left="0" w:leftChars="0" w:firstLine="0" w:firstLineChars="0"/>
              <w:jc w:val="center"/>
              <w:rPr>
                <w:rFonts w:hint="default" w:ascii="Times New Roman" w:hAnsi="Times New Roman" w:eastAsia="宋体" w:cs="Times New Roman"/>
                <w:kern w:val="0"/>
                <w:sz w:val="24"/>
                <w:szCs w:val="24"/>
              </w:rPr>
            </w:pPr>
            <w:r>
              <w:rPr>
                <w:rFonts w:hint="eastAsia" w:ascii="Times New Roman" w:hAnsi="Times New Roman" w:cs="Times New Roman"/>
                <w:color w:val="000000"/>
                <w:sz w:val="24"/>
                <w:szCs w:val="24"/>
                <w:lang w:val="en-US" w:eastAsia="zh-CN"/>
              </w:rPr>
              <w:t>43.33</w:t>
            </w:r>
          </w:p>
        </w:tc>
        <w:tc>
          <w:tcPr>
            <w:tcW w:w="1453" w:type="pct"/>
            <w:noWrap w:val="0"/>
            <w:vAlign w:val="center"/>
          </w:tcPr>
          <w:p w14:paraId="210582DA">
            <w:pPr>
              <w:widowControl/>
              <w:spacing w:line="360" w:lineRule="auto"/>
              <w:ind w:left="0" w:leftChars="0" w:firstLine="0" w:firstLineChars="0"/>
              <w:jc w:val="center"/>
              <w:rPr>
                <w:rFonts w:hint="default" w:ascii="Times New Roman" w:hAnsi="Times New Roman" w:eastAsia="宋体" w:cs="Times New Roman"/>
                <w:kern w:val="0"/>
                <w:sz w:val="24"/>
                <w:szCs w:val="24"/>
              </w:rPr>
            </w:pPr>
            <w:r>
              <w:rPr>
                <w:rFonts w:hint="eastAsia" w:ascii="Times New Roman" w:hAnsi="Times New Roman" w:cs="Times New Roman"/>
                <w:color w:val="000000"/>
                <w:sz w:val="24"/>
                <w:szCs w:val="24"/>
                <w:lang w:val="en-US" w:eastAsia="zh-CN"/>
              </w:rPr>
              <w:t>20.20×10</w:t>
            </w:r>
            <w:r>
              <w:rPr>
                <w:rFonts w:hint="eastAsia" w:ascii="Times New Roman" w:hAnsi="Times New Roman" w:cs="Times New Roman"/>
                <w:color w:val="000000"/>
                <w:sz w:val="24"/>
                <w:szCs w:val="24"/>
                <w:vertAlign w:val="superscript"/>
                <w:lang w:val="en-US" w:eastAsia="zh-CN"/>
              </w:rPr>
              <w:t>-3</w:t>
            </w:r>
          </w:p>
        </w:tc>
        <w:tc>
          <w:tcPr>
            <w:tcW w:w="1500" w:type="pct"/>
            <w:noWrap w:val="0"/>
            <w:vAlign w:val="center"/>
          </w:tcPr>
          <w:p w14:paraId="23397DBA">
            <w:pPr>
              <w:widowControl/>
              <w:spacing w:line="360" w:lineRule="auto"/>
              <w:ind w:left="0" w:leftChars="0" w:firstLine="0" w:firstLineChars="0"/>
              <w:jc w:val="center"/>
              <w:rPr>
                <w:rFonts w:hint="eastAsia" w:ascii="Times New Roman" w:hAnsi="Times New Roman" w:eastAsia="宋体" w:cs="Times New Roman"/>
                <w:kern w:val="0"/>
                <w:sz w:val="24"/>
                <w:szCs w:val="24"/>
                <w:lang w:val="en-US" w:eastAsia="zh-CN"/>
              </w:rPr>
            </w:pPr>
            <w:r>
              <w:rPr>
                <w:rFonts w:hint="default" w:ascii="Times New Roman" w:hAnsi="Times New Roman" w:eastAsia="宋体" w:cs="Times New Roman"/>
                <w:kern w:val="0"/>
                <w:sz w:val="24"/>
                <w:szCs w:val="24"/>
              </w:rPr>
              <w:t>9</w:t>
            </w:r>
            <w:r>
              <w:rPr>
                <w:rFonts w:hint="eastAsia" w:ascii="Times New Roman" w:hAnsi="Times New Roman" w:eastAsia="宋体" w:cs="Times New Roman"/>
                <w:kern w:val="0"/>
                <w:sz w:val="24"/>
                <w:szCs w:val="24"/>
                <w:lang w:val="en-US" w:eastAsia="zh-CN"/>
              </w:rPr>
              <w:t>8</w:t>
            </w:r>
          </w:p>
        </w:tc>
      </w:tr>
      <w:tr w14:paraId="203726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80" w:type="pct"/>
            <w:noWrap w:val="0"/>
            <w:vAlign w:val="center"/>
          </w:tcPr>
          <w:p w14:paraId="7828E676">
            <w:pPr>
              <w:widowControl/>
              <w:spacing w:line="360" w:lineRule="auto"/>
              <w:ind w:left="0" w:lef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数据项</w:t>
            </w:r>
          </w:p>
        </w:tc>
        <w:tc>
          <w:tcPr>
            <w:tcW w:w="1368" w:type="pct"/>
            <w:noWrap w:val="0"/>
            <w:vAlign w:val="center"/>
          </w:tcPr>
          <w:p w14:paraId="08B79EC5">
            <w:pPr>
              <w:widowControl/>
              <w:spacing w:line="360" w:lineRule="auto"/>
              <w:ind w:left="0" w:lef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低位发热量</w:t>
            </w:r>
          </w:p>
        </w:tc>
        <w:tc>
          <w:tcPr>
            <w:tcW w:w="1453" w:type="pct"/>
            <w:noWrap w:val="0"/>
            <w:vAlign w:val="center"/>
          </w:tcPr>
          <w:p w14:paraId="219C1699">
            <w:pPr>
              <w:widowControl/>
              <w:spacing w:line="360" w:lineRule="auto"/>
              <w:ind w:left="0" w:lef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单位热值含碳量</w:t>
            </w:r>
          </w:p>
        </w:tc>
        <w:tc>
          <w:tcPr>
            <w:tcW w:w="1500" w:type="pct"/>
            <w:noWrap w:val="0"/>
            <w:vAlign w:val="center"/>
          </w:tcPr>
          <w:p w14:paraId="5CF73628">
            <w:pPr>
              <w:widowControl/>
              <w:spacing w:line="360" w:lineRule="auto"/>
              <w:ind w:left="0" w:lef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碳氧化率</w:t>
            </w:r>
          </w:p>
        </w:tc>
      </w:tr>
      <w:tr w14:paraId="3A4521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80" w:type="pct"/>
            <w:noWrap w:val="0"/>
            <w:vAlign w:val="center"/>
          </w:tcPr>
          <w:p w14:paraId="3675A96B">
            <w:pPr>
              <w:widowControl/>
              <w:spacing w:line="360" w:lineRule="auto"/>
              <w:ind w:left="0" w:lef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单位</w:t>
            </w:r>
          </w:p>
        </w:tc>
        <w:tc>
          <w:tcPr>
            <w:tcW w:w="1368" w:type="pct"/>
            <w:noWrap w:val="0"/>
            <w:vAlign w:val="center"/>
          </w:tcPr>
          <w:p w14:paraId="0B3DCA7A">
            <w:pPr>
              <w:widowControl/>
              <w:spacing w:line="360" w:lineRule="auto"/>
              <w:ind w:left="0" w:lef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GJ/10</w:t>
            </w:r>
            <w:r>
              <w:rPr>
                <w:rFonts w:hint="default" w:ascii="Times New Roman" w:hAnsi="Times New Roman" w:eastAsia="宋体" w:cs="Times New Roman"/>
                <w:kern w:val="0"/>
                <w:sz w:val="24"/>
                <w:szCs w:val="24"/>
                <w:vertAlign w:val="superscript"/>
              </w:rPr>
              <w:t xml:space="preserve">4 </w:t>
            </w:r>
            <w:r>
              <w:rPr>
                <w:rFonts w:hint="default" w:ascii="Times New Roman" w:hAnsi="Times New Roman" w:eastAsia="宋体" w:cs="Times New Roman"/>
                <w:kern w:val="0"/>
                <w:sz w:val="24"/>
                <w:szCs w:val="24"/>
              </w:rPr>
              <w:t>Nm</w:t>
            </w:r>
            <w:r>
              <w:rPr>
                <w:rFonts w:hint="default" w:ascii="Times New Roman" w:hAnsi="Times New Roman" w:eastAsia="宋体" w:cs="Times New Roman"/>
                <w:kern w:val="0"/>
                <w:sz w:val="24"/>
                <w:szCs w:val="24"/>
                <w:vertAlign w:val="superscript"/>
              </w:rPr>
              <w:t>3</w:t>
            </w:r>
          </w:p>
        </w:tc>
        <w:tc>
          <w:tcPr>
            <w:tcW w:w="1453" w:type="pct"/>
            <w:noWrap w:val="0"/>
            <w:vAlign w:val="center"/>
          </w:tcPr>
          <w:p w14:paraId="39555FD4">
            <w:pPr>
              <w:widowControl/>
              <w:spacing w:line="360" w:lineRule="auto"/>
              <w:ind w:left="0" w:lef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t C/GJ</w:t>
            </w:r>
          </w:p>
        </w:tc>
        <w:tc>
          <w:tcPr>
            <w:tcW w:w="1500" w:type="pct"/>
            <w:noWrap w:val="0"/>
            <w:vAlign w:val="center"/>
          </w:tcPr>
          <w:p w14:paraId="329713D1">
            <w:pPr>
              <w:widowControl/>
              <w:spacing w:line="360" w:lineRule="auto"/>
              <w:ind w:left="0" w:lef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w:t>
            </w:r>
          </w:p>
        </w:tc>
      </w:tr>
      <w:tr w14:paraId="524B45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80" w:type="pct"/>
            <w:noWrap w:val="0"/>
            <w:vAlign w:val="center"/>
          </w:tcPr>
          <w:p w14:paraId="7BAD3D14">
            <w:pPr>
              <w:widowControl/>
              <w:spacing w:line="360" w:lineRule="auto"/>
              <w:ind w:left="0" w:lef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数据来源</w:t>
            </w:r>
          </w:p>
        </w:tc>
        <w:tc>
          <w:tcPr>
            <w:tcW w:w="1368" w:type="pct"/>
            <w:noWrap w:val="0"/>
            <w:vAlign w:val="center"/>
          </w:tcPr>
          <w:p w14:paraId="45498999">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sz w:val="24"/>
                <w:szCs w:val="24"/>
              </w:rPr>
              <w:t>《工业其他行业企业温室气体排放核算方法与报告指南（试行）》</w:t>
            </w:r>
          </w:p>
        </w:tc>
        <w:tc>
          <w:tcPr>
            <w:tcW w:w="1453" w:type="pct"/>
            <w:noWrap w:val="0"/>
            <w:vAlign w:val="center"/>
          </w:tcPr>
          <w:p w14:paraId="5AEA91A1">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sz w:val="24"/>
                <w:szCs w:val="24"/>
              </w:rPr>
              <w:t>《工业其他行业企业温室气体排放核算方法与报告指南（试行）》</w:t>
            </w:r>
          </w:p>
        </w:tc>
        <w:tc>
          <w:tcPr>
            <w:tcW w:w="1500" w:type="pct"/>
            <w:noWrap w:val="0"/>
            <w:vAlign w:val="center"/>
          </w:tcPr>
          <w:p w14:paraId="69E98984">
            <w:pPr>
              <w:keepNext w:val="0"/>
              <w:keepLines w:val="0"/>
              <w:widowControl/>
              <w:suppressLineNumbers w:val="0"/>
              <w:spacing w:line="240" w:lineRule="auto"/>
              <w:ind w:left="0" w:lef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color w:val="000000"/>
                <w:kern w:val="0"/>
                <w:sz w:val="24"/>
                <w:szCs w:val="24"/>
                <w:lang w:val="en-US" w:eastAsia="zh-CN" w:bidi="ar"/>
              </w:rPr>
              <w:t>《工业其他行业企业温室气体排放核算方法与报告指南（试行）》</w:t>
            </w:r>
          </w:p>
        </w:tc>
      </w:tr>
    </w:tbl>
    <w:p w14:paraId="354210BC">
      <w:pPr>
        <w:pStyle w:val="27"/>
        <w:bidi w:val="0"/>
        <w:rPr>
          <w:rFonts w:hint="default"/>
        </w:rPr>
      </w:pPr>
      <w:bookmarkStart w:id="17" w:name="_Toc31597"/>
      <w:r>
        <w:rPr>
          <w:rFonts w:hint="default"/>
        </w:rPr>
        <w:t>5-</w:t>
      </w:r>
      <w:r>
        <w:rPr>
          <w:rFonts w:hint="eastAsia"/>
          <w:lang w:val="en-US" w:eastAsia="zh-CN"/>
        </w:rPr>
        <w:t>2</w:t>
      </w:r>
      <w:r>
        <w:rPr>
          <w:rFonts w:hint="default"/>
        </w:rPr>
        <w:t xml:space="preserve">  </w:t>
      </w:r>
      <w:r>
        <w:rPr>
          <w:rFonts w:hint="eastAsia"/>
          <w:lang w:val="en-US" w:eastAsia="zh-CN"/>
        </w:rPr>
        <w:t>天然气</w:t>
      </w:r>
      <w:r>
        <w:rPr>
          <w:rFonts w:hint="default"/>
        </w:rPr>
        <w:t>排放因子数据及来源表</w:t>
      </w:r>
    </w:p>
    <w:tbl>
      <w:tblPr>
        <w:tblStyle w:val="11"/>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899"/>
        <w:gridCol w:w="3822"/>
        <w:gridCol w:w="4059"/>
        <w:gridCol w:w="4188"/>
      </w:tblGrid>
      <w:tr w14:paraId="519DDF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80" w:type="pct"/>
            <w:noWrap w:val="0"/>
            <w:vAlign w:val="center"/>
          </w:tcPr>
          <w:p w14:paraId="4A62D548">
            <w:pPr>
              <w:widowControl/>
              <w:spacing w:line="360" w:lineRule="auto"/>
              <w:ind w:left="0" w:lef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数据值</w:t>
            </w:r>
          </w:p>
        </w:tc>
        <w:tc>
          <w:tcPr>
            <w:tcW w:w="1368" w:type="pct"/>
            <w:noWrap w:val="0"/>
            <w:vAlign w:val="center"/>
          </w:tcPr>
          <w:p w14:paraId="51FCBBE4">
            <w:pPr>
              <w:widowControl/>
              <w:spacing w:line="360" w:lineRule="auto"/>
              <w:ind w:left="0" w:leftChars="0" w:firstLine="0" w:firstLineChars="0"/>
              <w:jc w:val="center"/>
              <w:rPr>
                <w:rFonts w:hint="default" w:ascii="Times New Roman" w:hAnsi="Times New Roman" w:eastAsia="宋体" w:cs="Times New Roman"/>
                <w:kern w:val="0"/>
                <w:sz w:val="24"/>
                <w:szCs w:val="24"/>
              </w:rPr>
            </w:pPr>
            <w:r>
              <w:rPr>
                <w:rFonts w:hint="eastAsia" w:ascii="Times New Roman" w:hAnsi="Times New Roman" w:cs="Times New Roman"/>
                <w:color w:val="000000"/>
                <w:sz w:val="24"/>
                <w:szCs w:val="24"/>
                <w:lang w:val="en-US" w:eastAsia="zh-CN"/>
              </w:rPr>
              <w:t>389.31</w:t>
            </w:r>
          </w:p>
        </w:tc>
        <w:tc>
          <w:tcPr>
            <w:tcW w:w="1453" w:type="pct"/>
            <w:noWrap w:val="0"/>
            <w:vAlign w:val="center"/>
          </w:tcPr>
          <w:p w14:paraId="61CFCB49">
            <w:pPr>
              <w:widowControl/>
              <w:spacing w:line="360" w:lineRule="auto"/>
              <w:ind w:left="0" w:leftChars="0" w:firstLine="0" w:firstLineChars="0"/>
              <w:jc w:val="center"/>
              <w:rPr>
                <w:rFonts w:hint="default" w:ascii="Times New Roman" w:hAnsi="Times New Roman" w:eastAsia="宋体" w:cs="Times New Roman"/>
                <w:kern w:val="0"/>
                <w:sz w:val="24"/>
                <w:szCs w:val="24"/>
              </w:rPr>
            </w:pPr>
            <w:r>
              <w:rPr>
                <w:rFonts w:hint="eastAsia" w:ascii="Times New Roman" w:hAnsi="Times New Roman" w:cs="Times New Roman"/>
                <w:color w:val="000000"/>
                <w:sz w:val="24"/>
                <w:szCs w:val="24"/>
                <w:lang w:val="en-US" w:eastAsia="zh-CN"/>
              </w:rPr>
              <w:t>15.30×10</w:t>
            </w:r>
            <w:r>
              <w:rPr>
                <w:rFonts w:hint="eastAsia" w:ascii="Times New Roman" w:hAnsi="Times New Roman" w:cs="Times New Roman"/>
                <w:color w:val="000000"/>
                <w:sz w:val="24"/>
                <w:szCs w:val="24"/>
                <w:vertAlign w:val="superscript"/>
                <w:lang w:val="en-US" w:eastAsia="zh-CN"/>
              </w:rPr>
              <w:t>-3</w:t>
            </w:r>
          </w:p>
        </w:tc>
        <w:tc>
          <w:tcPr>
            <w:tcW w:w="1500" w:type="pct"/>
            <w:noWrap w:val="0"/>
            <w:vAlign w:val="center"/>
          </w:tcPr>
          <w:p w14:paraId="3F003084">
            <w:pPr>
              <w:widowControl/>
              <w:spacing w:line="360" w:lineRule="auto"/>
              <w:ind w:left="0" w:leftChars="0" w:firstLine="0" w:firstLineChars="0"/>
              <w:jc w:val="center"/>
              <w:rPr>
                <w:rFonts w:hint="eastAsia" w:ascii="Times New Roman" w:hAnsi="Times New Roman" w:eastAsia="宋体" w:cs="Times New Roman"/>
                <w:kern w:val="0"/>
                <w:sz w:val="24"/>
                <w:szCs w:val="24"/>
                <w:lang w:val="en-US" w:eastAsia="zh-CN"/>
              </w:rPr>
            </w:pPr>
            <w:r>
              <w:rPr>
                <w:rFonts w:hint="default" w:ascii="Times New Roman" w:hAnsi="Times New Roman" w:eastAsia="宋体" w:cs="Times New Roman"/>
                <w:kern w:val="0"/>
                <w:sz w:val="24"/>
                <w:szCs w:val="24"/>
              </w:rPr>
              <w:t>9</w:t>
            </w:r>
            <w:r>
              <w:rPr>
                <w:rFonts w:hint="eastAsia" w:ascii="Times New Roman" w:hAnsi="Times New Roman" w:eastAsia="宋体" w:cs="Times New Roman"/>
                <w:kern w:val="0"/>
                <w:sz w:val="24"/>
                <w:szCs w:val="24"/>
                <w:lang w:val="en-US" w:eastAsia="zh-CN"/>
              </w:rPr>
              <w:t>9</w:t>
            </w:r>
          </w:p>
        </w:tc>
      </w:tr>
      <w:tr w14:paraId="5D92CF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80" w:type="pct"/>
            <w:noWrap w:val="0"/>
            <w:vAlign w:val="center"/>
          </w:tcPr>
          <w:p w14:paraId="670F9292">
            <w:pPr>
              <w:widowControl/>
              <w:spacing w:line="360" w:lineRule="auto"/>
              <w:ind w:left="0" w:lef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数据项</w:t>
            </w:r>
          </w:p>
        </w:tc>
        <w:tc>
          <w:tcPr>
            <w:tcW w:w="1368" w:type="pct"/>
            <w:noWrap w:val="0"/>
            <w:vAlign w:val="center"/>
          </w:tcPr>
          <w:p w14:paraId="62FAFF77">
            <w:pPr>
              <w:widowControl/>
              <w:spacing w:line="360" w:lineRule="auto"/>
              <w:ind w:left="0" w:lef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低位发热量</w:t>
            </w:r>
          </w:p>
        </w:tc>
        <w:tc>
          <w:tcPr>
            <w:tcW w:w="1453" w:type="pct"/>
            <w:noWrap w:val="0"/>
            <w:vAlign w:val="center"/>
          </w:tcPr>
          <w:p w14:paraId="4269D9DF">
            <w:pPr>
              <w:widowControl/>
              <w:spacing w:line="360" w:lineRule="auto"/>
              <w:ind w:left="0" w:lef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单位热值含碳量</w:t>
            </w:r>
          </w:p>
        </w:tc>
        <w:tc>
          <w:tcPr>
            <w:tcW w:w="1500" w:type="pct"/>
            <w:noWrap w:val="0"/>
            <w:vAlign w:val="center"/>
          </w:tcPr>
          <w:p w14:paraId="4A00C71D">
            <w:pPr>
              <w:widowControl/>
              <w:spacing w:line="360" w:lineRule="auto"/>
              <w:ind w:left="0" w:lef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碳氧化率</w:t>
            </w:r>
          </w:p>
        </w:tc>
      </w:tr>
      <w:tr w14:paraId="4788B1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80" w:type="pct"/>
            <w:noWrap w:val="0"/>
            <w:vAlign w:val="center"/>
          </w:tcPr>
          <w:p w14:paraId="7C592D4C">
            <w:pPr>
              <w:widowControl/>
              <w:spacing w:line="360" w:lineRule="auto"/>
              <w:ind w:left="0" w:lef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单位</w:t>
            </w:r>
          </w:p>
        </w:tc>
        <w:tc>
          <w:tcPr>
            <w:tcW w:w="1368" w:type="pct"/>
            <w:noWrap w:val="0"/>
            <w:vAlign w:val="center"/>
          </w:tcPr>
          <w:p w14:paraId="76DE0A68">
            <w:pPr>
              <w:widowControl/>
              <w:spacing w:line="360" w:lineRule="auto"/>
              <w:ind w:left="0" w:lef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GJ/10</w:t>
            </w:r>
            <w:r>
              <w:rPr>
                <w:rFonts w:hint="default" w:ascii="Times New Roman" w:hAnsi="Times New Roman" w:eastAsia="宋体" w:cs="Times New Roman"/>
                <w:kern w:val="0"/>
                <w:sz w:val="24"/>
                <w:szCs w:val="24"/>
                <w:vertAlign w:val="superscript"/>
              </w:rPr>
              <w:t xml:space="preserve">4 </w:t>
            </w:r>
            <w:r>
              <w:rPr>
                <w:rFonts w:hint="default" w:ascii="Times New Roman" w:hAnsi="Times New Roman" w:eastAsia="宋体" w:cs="Times New Roman"/>
                <w:kern w:val="0"/>
                <w:sz w:val="24"/>
                <w:szCs w:val="24"/>
              </w:rPr>
              <w:t>Nm</w:t>
            </w:r>
            <w:r>
              <w:rPr>
                <w:rFonts w:hint="default" w:ascii="Times New Roman" w:hAnsi="Times New Roman" w:eastAsia="宋体" w:cs="Times New Roman"/>
                <w:kern w:val="0"/>
                <w:sz w:val="24"/>
                <w:szCs w:val="24"/>
                <w:vertAlign w:val="superscript"/>
              </w:rPr>
              <w:t>3</w:t>
            </w:r>
          </w:p>
        </w:tc>
        <w:tc>
          <w:tcPr>
            <w:tcW w:w="1453" w:type="pct"/>
            <w:noWrap w:val="0"/>
            <w:vAlign w:val="center"/>
          </w:tcPr>
          <w:p w14:paraId="7D407DDC">
            <w:pPr>
              <w:widowControl/>
              <w:spacing w:line="360" w:lineRule="auto"/>
              <w:ind w:left="0" w:lef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t C/GJ</w:t>
            </w:r>
          </w:p>
        </w:tc>
        <w:tc>
          <w:tcPr>
            <w:tcW w:w="1500" w:type="pct"/>
            <w:noWrap w:val="0"/>
            <w:vAlign w:val="center"/>
          </w:tcPr>
          <w:p w14:paraId="68B9A18F">
            <w:pPr>
              <w:widowControl/>
              <w:spacing w:line="360" w:lineRule="auto"/>
              <w:ind w:left="0" w:lef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w:t>
            </w:r>
          </w:p>
        </w:tc>
      </w:tr>
      <w:tr w14:paraId="440CF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80" w:type="pct"/>
            <w:noWrap w:val="0"/>
            <w:vAlign w:val="center"/>
          </w:tcPr>
          <w:p w14:paraId="3D206C17">
            <w:pPr>
              <w:widowControl/>
              <w:spacing w:line="360" w:lineRule="auto"/>
              <w:ind w:left="0" w:lef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数据来源</w:t>
            </w:r>
          </w:p>
        </w:tc>
        <w:tc>
          <w:tcPr>
            <w:tcW w:w="1368" w:type="pct"/>
            <w:noWrap w:val="0"/>
            <w:vAlign w:val="center"/>
          </w:tcPr>
          <w:p w14:paraId="5DCE2C92">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sz w:val="24"/>
                <w:szCs w:val="24"/>
              </w:rPr>
              <w:t>《工业其他行业企业温室气体排放核算方法与报告指南（试行）》</w:t>
            </w:r>
          </w:p>
        </w:tc>
        <w:tc>
          <w:tcPr>
            <w:tcW w:w="1453" w:type="pct"/>
            <w:noWrap w:val="0"/>
            <w:vAlign w:val="center"/>
          </w:tcPr>
          <w:p w14:paraId="6BC53E53">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sz w:val="24"/>
                <w:szCs w:val="24"/>
              </w:rPr>
              <w:t>《工业其他行业企业温室气体排放核算方法与报告指南（试行）》</w:t>
            </w:r>
          </w:p>
        </w:tc>
        <w:tc>
          <w:tcPr>
            <w:tcW w:w="1500" w:type="pct"/>
            <w:noWrap w:val="0"/>
            <w:vAlign w:val="center"/>
          </w:tcPr>
          <w:p w14:paraId="082EB9E4">
            <w:pPr>
              <w:keepNext w:val="0"/>
              <w:keepLines w:val="0"/>
              <w:widowControl/>
              <w:suppressLineNumbers w:val="0"/>
              <w:spacing w:line="240" w:lineRule="auto"/>
              <w:ind w:left="0" w:lef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color w:val="000000"/>
                <w:kern w:val="0"/>
                <w:sz w:val="24"/>
                <w:szCs w:val="24"/>
                <w:lang w:val="en-US" w:eastAsia="zh-CN" w:bidi="ar"/>
              </w:rPr>
              <w:t>《工业其他行业企业温室气体排放核算方法与报告指南（试行）》</w:t>
            </w:r>
          </w:p>
        </w:tc>
      </w:tr>
    </w:tbl>
    <w:p w14:paraId="00A7DCA2">
      <w:pPr>
        <w:pStyle w:val="5"/>
        <w:bidi w:val="0"/>
        <w:rPr>
          <w:rFonts w:hint="default"/>
        </w:rPr>
      </w:pPr>
      <w:r>
        <w:rPr>
          <w:rFonts w:hint="default"/>
        </w:rPr>
        <w:t>5.2 净购入电力排放因子数据及来源</w:t>
      </w:r>
      <w:bookmarkEnd w:id="17"/>
    </w:p>
    <w:p w14:paraId="679BA7FD">
      <w:pPr>
        <w:pStyle w:val="27"/>
        <w:bidi w:val="0"/>
        <w:rPr>
          <w:rFonts w:hint="default"/>
        </w:rPr>
      </w:pPr>
      <w:r>
        <w:rPr>
          <w:rFonts w:hint="default"/>
        </w:rPr>
        <w:t>5-</w:t>
      </w:r>
      <w:r>
        <w:rPr>
          <w:rFonts w:hint="eastAsia"/>
          <w:lang w:val="en-US" w:eastAsia="zh-CN"/>
        </w:rPr>
        <w:t>3</w:t>
      </w:r>
      <w:r>
        <w:rPr>
          <w:rFonts w:hint="default"/>
        </w:rPr>
        <w:t xml:space="preserve">  净购入电力排放因子数据及来源表</w:t>
      </w:r>
    </w:p>
    <w:tbl>
      <w:tblPr>
        <w:tblStyle w:val="11"/>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140"/>
        <w:gridCol w:w="11828"/>
      </w:tblGrid>
      <w:tr w14:paraId="17F4F1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atLeast"/>
        </w:trPr>
        <w:tc>
          <w:tcPr>
            <w:tcW w:w="766" w:type="pct"/>
            <w:noWrap w:val="0"/>
            <w:vAlign w:val="center"/>
          </w:tcPr>
          <w:p w14:paraId="7D0AEC40">
            <w:pPr>
              <w:widowControl/>
              <w:spacing w:line="360" w:lineRule="auto"/>
              <w:ind w:left="0" w:lef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数据值</w:t>
            </w:r>
          </w:p>
        </w:tc>
        <w:tc>
          <w:tcPr>
            <w:tcW w:w="4234" w:type="pct"/>
            <w:noWrap w:val="0"/>
            <w:vAlign w:val="center"/>
          </w:tcPr>
          <w:p w14:paraId="25EED136">
            <w:pPr>
              <w:widowControl/>
              <w:spacing w:line="360" w:lineRule="auto"/>
              <w:ind w:left="0" w:leftChars="0" w:firstLine="0" w:firstLineChars="0"/>
              <w:jc w:val="center"/>
              <w:rPr>
                <w:rFonts w:hint="default" w:ascii="Times New Roman" w:hAnsi="Times New Roman" w:eastAsia="宋体" w:cs="Times New Roman"/>
                <w:kern w:val="0"/>
                <w:sz w:val="24"/>
                <w:szCs w:val="24"/>
                <w:lang w:val="en-US" w:eastAsia="zh-CN"/>
              </w:rPr>
            </w:pPr>
            <w:r>
              <w:rPr>
                <w:rFonts w:hint="default" w:ascii="Times New Roman" w:hAnsi="Times New Roman" w:eastAsia="宋体" w:cs="Times New Roman"/>
                <w:kern w:val="0"/>
                <w:sz w:val="24"/>
                <w:szCs w:val="24"/>
              </w:rPr>
              <w:t>0.</w:t>
            </w:r>
            <w:r>
              <w:rPr>
                <w:rFonts w:hint="eastAsia" w:ascii="Times New Roman" w:hAnsi="Times New Roman" w:eastAsia="宋体" w:cs="Times New Roman"/>
                <w:kern w:val="0"/>
                <w:sz w:val="24"/>
                <w:szCs w:val="24"/>
                <w:lang w:val="en-US" w:eastAsia="zh-CN"/>
              </w:rPr>
              <w:t>6782</w:t>
            </w:r>
          </w:p>
        </w:tc>
      </w:tr>
      <w:tr w14:paraId="1450CB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66" w:type="pct"/>
            <w:noWrap w:val="0"/>
            <w:vAlign w:val="center"/>
          </w:tcPr>
          <w:p w14:paraId="0CE39969">
            <w:pPr>
              <w:widowControl/>
              <w:spacing w:line="360" w:lineRule="auto"/>
              <w:ind w:left="0" w:lef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数据项</w:t>
            </w:r>
          </w:p>
        </w:tc>
        <w:tc>
          <w:tcPr>
            <w:tcW w:w="4234" w:type="pct"/>
            <w:noWrap w:val="0"/>
            <w:vAlign w:val="center"/>
          </w:tcPr>
          <w:p w14:paraId="192C50A6">
            <w:pPr>
              <w:widowControl/>
              <w:spacing w:line="360" w:lineRule="auto"/>
              <w:ind w:left="0" w:lef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CO2排放因子</w:t>
            </w:r>
          </w:p>
        </w:tc>
      </w:tr>
      <w:tr w14:paraId="5D5483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66" w:type="pct"/>
            <w:noWrap w:val="0"/>
            <w:vAlign w:val="center"/>
          </w:tcPr>
          <w:p w14:paraId="561607A6">
            <w:pPr>
              <w:widowControl/>
              <w:spacing w:line="360" w:lineRule="auto"/>
              <w:ind w:left="0" w:lef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单位</w:t>
            </w:r>
          </w:p>
        </w:tc>
        <w:tc>
          <w:tcPr>
            <w:tcW w:w="4234" w:type="pct"/>
            <w:noWrap w:val="0"/>
            <w:vAlign w:val="center"/>
          </w:tcPr>
          <w:p w14:paraId="2DA2B7D5">
            <w:pPr>
              <w:widowControl/>
              <w:spacing w:line="360" w:lineRule="auto"/>
              <w:ind w:left="0" w:lef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t CO2/MWh</w:t>
            </w:r>
          </w:p>
        </w:tc>
      </w:tr>
      <w:tr w14:paraId="05CC7C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66" w:type="pct"/>
            <w:noWrap w:val="0"/>
            <w:vAlign w:val="center"/>
          </w:tcPr>
          <w:p w14:paraId="43BAA3ED">
            <w:pPr>
              <w:widowControl/>
              <w:spacing w:line="360" w:lineRule="auto"/>
              <w:ind w:left="0" w:lef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数据来源</w:t>
            </w:r>
          </w:p>
        </w:tc>
        <w:tc>
          <w:tcPr>
            <w:tcW w:w="4234" w:type="pct"/>
            <w:noWrap w:val="0"/>
            <w:vAlign w:val="center"/>
          </w:tcPr>
          <w:p w14:paraId="4CCAF38C">
            <w:pPr>
              <w:widowControl/>
              <w:spacing w:line="360" w:lineRule="auto"/>
              <w:ind w:left="0" w:lef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lang w:eastAsia="zh-CN"/>
              </w:rPr>
              <w:t>中华人民共和国生态环境部</w:t>
            </w:r>
          </w:p>
        </w:tc>
      </w:tr>
    </w:tbl>
    <w:p w14:paraId="5312321A">
      <w:pPr>
        <w:spacing w:line="360" w:lineRule="auto"/>
        <w:ind w:firstLine="480" w:firstLineChars="200"/>
        <w:jc w:val="left"/>
        <w:rPr>
          <w:rFonts w:hint="default" w:ascii="Times New Roman" w:hAnsi="Times New Roman" w:eastAsia="宋体" w:cs="Times New Roman"/>
          <w:sz w:val="24"/>
          <w:szCs w:val="24"/>
        </w:rPr>
      </w:pPr>
    </w:p>
    <w:p w14:paraId="50DC72AF">
      <w:pPr>
        <w:spacing w:line="360" w:lineRule="auto"/>
        <w:ind w:firstLine="480" w:firstLineChars="200"/>
        <w:jc w:val="left"/>
        <w:rPr>
          <w:rFonts w:hint="default" w:ascii="Times New Roman" w:hAnsi="Times New Roman" w:eastAsia="宋体" w:cs="Times New Roman"/>
          <w:sz w:val="24"/>
          <w:szCs w:val="24"/>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720" w:num="1"/>
          <w:docGrid w:type="lines" w:linePitch="312" w:charSpace="0"/>
        </w:sectPr>
      </w:pPr>
    </w:p>
    <w:p w14:paraId="1310FEF5">
      <w:pPr>
        <w:pStyle w:val="27"/>
        <w:bidi w:val="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表A.1  报告主体</w:t>
      </w:r>
      <w:r>
        <w:rPr>
          <w:rFonts w:hint="eastAsia" w:ascii="Times New Roman" w:hAnsi="Times New Roman" w:eastAsia="宋体" w:cs="Times New Roman"/>
          <w:sz w:val="24"/>
          <w:szCs w:val="24"/>
          <w:u w:val="single"/>
          <w:lang w:eastAsia="zh-CN"/>
        </w:rPr>
        <w:t>2024年</w:t>
      </w:r>
      <w:r>
        <w:rPr>
          <w:rFonts w:hint="default" w:ascii="Times New Roman" w:hAnsi="Times New Roman" w:eastAsia="宋体" w:cs="Times New Roman"/>
          <w:sz w:val="24"/>
          <w:szCs w:val="24"/>
        </w:rPr>
        <w:t>温室气体排放量报告</w:t>
      </w:r>
    </w:p>
    <w:tbl>
      <w:tblPr>
        <w:tblStyle w:val="11"/>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871"/>
        <w:gridCol w:w="2226"/>
        <w:gridCol w:w="2209"/>
      </w:tblGrid>
      <w:tr w14:paraId="7DC27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2" w:hRule="atLeast"/>
        </w:trPr>
        <w:tc>
          <w:tcPr>
            <w:tcW w:w="3871" w:type="dxa"/>
            <w:tcBorders>
              <w:top w:val="single" w:color="000000" w:sz="8" w:space="0"/>
              <w:left w:val="single" w:color="000000" w:sz="8" w:space="0"/>
              <w:bottom w:val="single" w:color="000000" w:sz="8" w:space="0"/>
              <w:right w:val="single" w:color="000000" w:sz="8" w:space="0"/>
            </w:tcBorders>
            <w:shd w:val="clear" w:color="auto" w:fill="auto"/>
            <w:vAlign w:val="top"/>
          </w:tcPr>
          <w:p w14:paraId="0E43C7E9">
            <w:pPr>
              <w:keepNext w:val="0"/>
              <w:keepLines w:val="0"/>
              <w:widowControl/>
              <w:suppressLineNumbers w:val="0"/>
              <w:ind w:left="0" w:leftChars="0" w:firstLine="0" w:firstLineChars="0"/>
              <w:jc w:val="both"/>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排放源的类别</w:t>
            </w:r>
          </w:p>
        </w:tc>
        <w:tc>
          <w:tcPr>
            <w:tcW w:w="2226" w:type="dxa"/>
            <w:tcBorders>
              <w:top w:val="single" w:color="000000" w:sz="8" w:space="0"/>
              <w:left w:val="single" w:color="000000" w:sz="8" w:space="0"/>
              <w:bottom w:val="single" w:color="000000" w:sz="8" w:space="0"/>
              <w:right w:val="single" w:color="000000" w:sz="8" w:space="0"/>
            </w:tcBorders>
            <w:shd w:val="clear" w:color="auto" w:fill="auto"/>
            <w:vAlign w:val="top"/>
          </w:tcPr>
          <w:p w14:paraId="2CCCD7E7">
            <w:pPr>
              <w:keepNext w:val="0"/>
              <w:keepLines w:val="0"/>
              <w:widowControl/>
              <w:suppressLineNumbers w:val="0"/>
              <w:spacing w:line="240" w:lineRule="auto"/>
              <w:ind w:left="0" w:leftChars="0" w:firstLine="0" w:firstLineChars="0"/>
              <w:jc w:val="both"/>
              <w:textAlignment w:val="top"/>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温室气体本身质量</w:t>
            </w:r>
          </w:p>
          <w:p w14:paraId="6E3F7886">
            <w:pPr>
              <w:keepNext w:val="0"/>
              <w:keepLines w:val="0"/>
              <w:widowControl/>
              <w:suppressLineNumbers w:val="0"/>
              <w:spacing w:line="240" w:lineRule="auto"/>
              <w:ind w:left="0" w:leftChars="0" w:firstLine="0" w:firstLineChars="0"/>
              <w:jc w:val="both"/>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r>
              <w:rPr>
                <w:rStyle w:val="31"/>
                <w:rFonts w:eastAsia="宋体"/>
                <w:lang w:val="en-US" w:eastAsia="zh-CN" w:bidi="ar"/>
              </w:rPr>
              <w:t>t</w:t>
            </w:r>
            <w:r>
              <w:rPr>
                <w:rStyle w:val="32"/>
                <w:lang w:val="en-US" w:eastAsia="zh-CN" w:bidi="ar"/>
              </w:rPr>
              <w:t>）</w:t>
            </w:r>
          </w:p>
        </w:tc>
        <w:tc>
          <w:tcPr>
            <w:tcW w:w="2209" w:type="dxa"/>
            <w:tcBorders>
              <w:top w:val="single" w:color="000000" w:sz="8" w:space="0"/>
              <w:left w:val="single" w:color="000000" w:sz="8" w:space="0"/>
              <w:bottom w:val="single" w:color="000000" w:sz="8" w:space="0"/>
              <w:right w:val="single" w:color="000000" w:sz="8" w:space="0"/>
            </w:tcBorders>
            <w:shd w:val="clear" w:color="auto" w:fill="auto"/>
            <w:vAlign w:val="top"/>
          </w:tcPr>
          <w:p w14:paraId="66F8B4D6">
            <w:pPr>
              <w:keepNext w:val="0"/>
              <w:keepLines w:val="0"/>
              <w:widowControl/>
              <w:suppressLineNumbers w:val="0"/>
              <w:spacing w:line="240" w:lineRule="auto"/>
              <w:ind w:left="0" w:leftChars="0" w:firstLine="0" w:firstLineChars="0"/>
              <w:jc w:val="both"/>
              <w:textAlignment w:val="top"/>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温室气体</w:t>
            </w:r>
            <w:r>
              <w:rPr>
                <w:rStyle w:val="31"/>
                <w:rFonts w:eastAsia="宋体"/>
                <w:lang w:val="en-US" w:eastAsia="zh-CN" w:bidi="ar"/>
              </w:rPr>
              <w:t>CO2</w:t>
            </w:r>
            <w:r>
              <w:rPr>
                <w:rStyle w:val="32"/>
                <w:lang w:val="en-US" w:eastAsia="zh-CN" w:bidi="ar"/>
              </w:rPr>
              <w:t>当量</w:t>
            </w:r>
          </w:p>
          <w:p w14:paraId="7DD5FB0F">
            <w:pPr>
              <w:keepNext w:val="0"/>
              <w:keepLines w:val="0"/>
              <w:widowControl/>
              <w:suppressLineNumbers w:val="0"/>
              <w:spacing w:line="240" w:lineRule="auto"/>
              <w:ind w:left="0" w:leftChars="0" w:firstLine="0" w:firstLineChars="0"/>
              <w:jc w:val="both"/>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r>
              <w:rPr>
                <w:rStyle w:val="31"/>
                <w:rFonts w:eastAsia="宋体"/>
                <w:lang w:val="en-US" w:eastAsia="zh-CN" w:bidi="ar"/>
              </w:rPr>
              <w:t>tCO</w:t>
            </w:r>
            <w:r>
              <w:rPr>
                <w:rStyle w:val="33"/>
                <w:rFonts w:eastAsia="宋体"/>
                <w:lang w:val="en-US" w:eastAsia="zh-CN" w:bidi="ar"/>
              </w:rPr>
              <w:t>2e</w:t>
            </w:r>
            <w:r>
              <w:rPr>
                <w:rStyle w:val="32"/>
                <w:lang w:val="en-US" w:eastAsia="zh-CN" w:bidi="ar"/>
              </w:rPr>
              <w:t>）</w:t>
            </w:r>
          </w:p>
        </w:tc>
      </w:tr>
      <w:tr w14:paraId="32A2D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3871" w:type="dxa"/>
            <w:tcBorders>
              <w:top w:val="single" w:color="000000" w:sz="8" w:space="0"/>
              <w:left w:val="single" w:color="000000" w:sz="8" w:space="0"/>
              <w:bottom w:val="single" w:color="000000" w:sz="8" w:space="0"/>
              <w:right w:val="single" w:color="000000" w:sz="8" w:space="0"/>
            </w:tcBorders>
            <w:shd w:val="clear" w:color="auto" w:fill="auto"/>
            <w:vAlign w:val="top"/>
          </w:tcPr>
          <w:p w14:paraId="50E11AFA">
            <w:pPr>
              <w:keepNext w:val="0"/>
              <w:keepLines w:val="0"/>
              <w:widowControl/>
              <w:suppressLineNumbers w:val="0"/>
              <w:ind w:left="0" w:leftChars="0" w:firstLine="0" w:firstLineChars="0"/>
              <w:jc w:val="both"/>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化石燃料燃烧排放量</w:t>
            </w:r>
          </w:p>
        </w:tc>
        <w:tc>
          <w:tcPr>
            <w:tcW w:w="2226" w:type="dxa"/>
            <w:tcBorders>
              <w:top w:val="single" w:color="000000" w:sz="8" w:space="0"/>
              <w:left w:val="single" w:color="000000" w:sz="8" w:space="0"/>
              <w:bottom w:val="single" w:color="000000" w:sz="8" w:space="0"/>
              <w:right w:val="single" w:color="000000" w:sz="8" w:space="0"/>
            </w:tcBorders>
            <w:shd w:val="clear" w:color="auto" w:fill="auto"/>
            <w:vAlign w:val="top"/>
          </w:tcPr>
          <w:p w14:paraId="39C0051F">
            <w:pPr>
              <w:keepNext w:val="0"/>
              <w:keepLines w:val="0"/>
              <w:widowControl/>
              <w:suppressLineNumbers w:val="0"/>
              <w:ind w:left="0" w:leftChars="0" w:firstLine="0" w:firstLineChars="0"/>
              <w:jc w:val="both"/>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14.9496</w:t>
            </w:r>
          </w:p>
        </w:tc>
        <w:tc>
          <w:tcPr>
            <w:tcW w:w="2209" w:type="dxa"/>
            <w:tcBorders>
              <w:top w:val="single" w:color="000000" w:sz="8" w:space="0"/>
              <w:left w:val="single" w:color="000000" w:sz="8" w:space="0"/>
              <w:bottom w:val="single" w:color="000000" w:sz="8" w:space="0"/>
              <w:right w:val="single" w:color="000000" w:sz="8" w:space="0"/>
            </w:tcBorders>
            <w:shd w:val="clear" w:color="auto" w:fill="auto"/>
            <w:vAlign w:val="top"/>
          </w:tcPr>
          <w:p w14:paraId="679E96FB">
            <w:pPr>
              <w:keepNext w:val="0"/>
              <w:keepLines w:val="0"/>
              <w:widowControl/>
              <w:suppressLineNumbers w:val="0"/>
              <w:ind w:left="0" w:leftChars="0" w:firstLine="0" w:firstLineChars="0"/>
              <w:jc w:val="both"/>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14.9496</w:t>
            </w:r>
          </w:p>
        </w:tc>
      </w:tr>
      <w:tr w14:paraId="19512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5" w:hRule="atLeast"/>
        </w:trPr>
        <w:tc>
          <w:tcPr>
            <w:tcW w:w="3871" w:type="dxa"/>
            <w:tcBorders>
              <w:top w:val="single" w:color="000000" w:sz="8" w:space="0"/>
              <w:left w:val="single" w:color="000000" w:sz="8" w:space="0"/>
              <w:bottom w:val="single" w:color="000000" w:sz="8" w:space="0"/>
              <w:right w:val="single" w:color="000000" w:sz="8" w:space="0"/>
            </w:tcBorders>
            <w:shd w:val="clear" w:color="auto" w:fill="auto"/>
            <w:vAlign w:val="top"/>
          </w:tcPr>
          <w:p w14:paraId="51A38E51">
            <w:pPr>
              <w:keepNext w:val="0"/>
              <w:keepLines w:val="0"/>
              <w:widowControl/>
              <w:suppressLineNumbers w:val="0"/>
              <w:ind w:left="0" w:leftChars="0" w:firstLine="0" w:firstLineChars="0"/>
              <w:jc w:val="both"/>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净购入电力和热力产生的</w:t>
            </w:r>
            <w:r>
              <w:rPr>
                <w:rStyle w:val="31"/>
                <w:rFonts w:eastAsia="宋体"/>
                <w:lang w:val="en-US" w:eastAsia="zh-CN" w:bidi="ar"/>
              </w:rPr>
              <w:t>CO</w:t>
            </w:r>
            <w:r>
              <w:rPr>
                <w:rStyle w:val="33"/>
                <w:rFonts w:eastAsia="宋体"/>
                <w:lang w:val="en-US" w:eastAsia="zh-CN" w:bidi="ar"/>
              </w:rPr>
              <w:t>2</w:t>
            </w:r>
            <w:r>
              <w:rPr>
                <w:rStyle w:val="32"/>
                <w:lang w:val="en-US" w:eastAsia="zh-CN" w:bidi="ar"/>
              </w:rPr>
              <w:t>排放</w:t>
            </w:r>
          </w:p>
        </w:tc>
        <w:tc>
          <w:tcPr>
            <w:tcW w:w="2226" w:type="dxa"/>
            <w:tcBorders>
              <w:top w:val="single" w:color="000000" w:sz="8" w:space="0"/>
              <w:left w:val="single" w:color="000000" w:sz="8" w:space="0"/>
              <w:bottom w:val="single" w:color="000000" w:sz="8" w:space="0"/>
              <w:right w:val="single" w:color="000000" w:sz="8" w:space="0"/>
            </w:tcBorders>
            <w:shd w:val="clear" w:color="auto" w:fill="auto"/>
            <w:vAlign w:val="top"/>
          </w:tcPr>
          <w:p w14:paraId="5A464894">
            <w:pPr>
              <w:keepNext w:val="0"/>
              <w:keepLines w:val="0"/>
              <w:widowControl/>
              <w:suppressLineNumbers w:val="0"/>
              <w:ind w:left="0" w:leftChars="0" w:firstLine="0" w:firstLineChars="0"/>
              <w:jc w:val="both"/>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3872.522</w:t>
            </w:r>
          </w:p>
        </w:tc>
        <w:tc>
          <w:tcPr>
            <w:tcW w:w="2209" w:type="dxa"/>
            <w:tcBorders>
              <w:top w:val="single" w:color="000000" w:sz="8" w:space="0"/>
              <w:left w:val="single" w:color="000000" w:sz="8" w:space="0"/>
              <w:bottom w:val="single" w:color="000000" w:sz="8" w:space="0"/>
              <w:right w:val="single" w:color="000000" w:sz="8" w:space="0"/>
            </w:tcBorders>
            <w:shd w:val="clear" w:color="auto" w:fill="auto"/>
            <w:vAlign w:val="top"/>
          </w:tcPr>
          <w:p w14:paraId="4213A756">
            <w:pPr>
              <w:keepNext w:val="0"/>
              <w:keepLines w:val="0"/>
              <w:widowControl/>
              <w:suppressLineNumbers w:val="0"/>
              <w:ind w:left="0" w:leftChars="0" w:firstLine="0" w:firstLineChars="0"/>
              <w:jc w:val="both"/>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3872.5220 </w:t>
            </w:r>
          </w:p>
        </w:tc>
      </w:tr>
      <w:tr w14:paraId="45D85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097" w:type="dxa"/>
            <w:gridSpan w:val="2"/>
            <w:tcBorders>
              <w:top w:val="single" w:color="000000" w:sz="8" w:space="0"/>
              <w:left w:val="single" w:color="000000" w:sz="8" w:space="0"/>
              <w:bottom w:val="single" w:color="000000" w:sz="8" w:space="0"/>
              <w:right w:val="single" w:color="000000" w:sz="8" w:space="0"/>
            </w:tcBorders>
            <w:shd w:val="clear" w:color="auto" w:fill="auto"/>
            <w:vAlign w:val="top"/>
          </w:tcPr>
          <w:p w14:paraId="428C75F7">
            <w:pPr>
              <w:keepNext w:val="0"/>
              <w:keepLines w:val="0"/>
              <w:widowControl/>
              <w:suppressLineNumbers w:val="0"/>
              <w:ind w:left="0" w:leftChars="0" w:firstLine="0" w:firstLineChars="0"/>
              <w:jc w:val="both"/>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企业温室气体排放总量（</w:t>
            </w:r>
            <w:r>
              <w:rPr>
                <w:rStyle w:val="31"/>
                <w:rFonts w:eastAsia="宋体"/>
                <w:lang w:val="en-US" w:eastAsia="zh-CN" w:bidi="ar"/>
              </w:rPr>
              <w:t>tCO</w:t>
            </w:r>
            <w:r>
              <w:rPr>
                <w:rStyle w:val="33"/>
                <w:rFonts w:eastAsia="宋体"/>
                <w:lang w:val="en-US" w:eastAsia="zh-CN" w:bidi="ar"/>
              </w:rPr>
              <w:t>2e</w:t>
            </w:r>
            <w:r>
              <w:rPr>
                <w:rStyle w:val="32"/>
                <w:lang w:val="en-US" w:eastAsia="zh-CN" w:bidi="ar"/>
              </w:rPr>
              <w:t>）</w:t>
            </w:r>
          </w:p>
        </w:tc>
        <w:tc>
          <w:tcPr>
            <w:tcW w:w="2209" w:type="dxa"/>
            <w:tcBorders>
              <w:top w:val="single" w:color="000000" w:sz="8" w:space="0"/>
              <w:left w:val="single" w:color="000000" w:sz="8" w:space="0"/>
              <w:bottom w:val="single" w:color="000000" w:sz="8" w:space="0"/>
              <w:right w:val="single" w:color="000000" w:sz="8" w:space="0"/>
            </w:tcBorders>
            <w:shd w:val="clear" w:color="auto" w:fill="auto"/>
            <w:vAlign w:val="top"/>
          </w:tcPr>
          <w:p w14:paraId="3B7A3824">
            <w:pPr>
              <w:keepNext w:val="0"/>
              <w:keepLines w:val="0"/>
              <w:widowControl/>
              <w:suppressLineNumbers w:val="0"/>
              <w:ind w:left="0" w:leftChars="0" w:firstLine="0" w:firstLineChars="0"/>
              <w:jc w:val="both"/>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3887.4716</w:t>
            </w:r>
          </w:p>
        </w:tc>
      </w:tr>
    </w:tbl>
    <w:p w14:paraId="69DD6ACD">
      <w:pPr>
        <w:spacing w:line="360" w:lineRule="auto"/>
        <w:rPr>
          <w:rFonts w:hint="default" w:ascii="Times New Roman" w:hAnsi="Times New Roman" w:eastAsia="宋体" w:cs="Times New Roman"/>
          <w:sz w:val="24"/>
          <w:szCs w:val="24"/>
        </w:rPr>
      </w:pPr>
    </w:p>
    <w:p w14:paraId="23BAE635">
      <w:pPr>
        <w:pStyle w:val="27"/>
        <w:bidi w:val="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表A.2  活动数据表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9"/>
        <w:gridCol w:w="1455"/>
        <w:gridCol w:w="1417"/>
        <w:gridCol w:w="1560"/>
        <w:gridCol w:w="2205"/>
      </w:tblGrid>
      <w:tr w14:paraId="15A98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9" w:type="dxa"/>
            <w:noWrap w:val="0"/>
            <w:vAlign w:val="center"/>
          </w:tcPr>
          <w:p w14:paraId="094DBFDC">
            <w:pPr>
              <w:spacing w:line="36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排放源类别</w:t>
            </w:r>
          </w:p>
        </w:tc>
        <w:tc>
          <w:tcPr>
            <w:tcW w:w="1455" w:type="dxa"/>
            <w:noWrap w:val="0"/>
            <w:vAlign w:val="center"/>
          </w:tcPr>
          <w:p w14:paraId="62C62114">
            <w:pPr>
              <w:spacing w:line="36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燃料种类</w:t>
            </w:r>
          </w:p>
        </w:tc>
        <w:tc>
          <w:tcPr>
            <w:tcW w:w="1417" w:type="dxa"/>
            <w:noWrap w:val="0"/>
            <w:vAlign w:val="center"/>
          </w:tcPr>
          <w:p w14:paraId="732B3E4E">
            <w:pPr>
              <w:spacing w:line="36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计量单位</w:t>
            </w:r>
          </w:p>
        </w:tc>
        <w:tc>
          <w:tcPr>
            <w:tcW w:w="1560" w:type="dxa"/>
            <w:noWrap w:val="0"/>
            <w:vAlign w:val="center"/>
          </w:tcPr>
          <w:p w14:paraId="172FFCB9">
            <w:pPr>
              <w:spacing w:line="24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消耗量</w:t>
            </w:r>
          </w:p>
          <w:p w14:paraId="1D1135AE">
            <w:pPr>
              <w:spacing w:line="24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10</w:t>
            </w:r>
            <w:r>
              <w:rPr>
                <w:rFonts w:hint="default" w:ascii="Times New Roman" w:hAnsi="Times New Roman" w:eastAsia="宋体" w:cs="Times New Roman"/>
                <w:sz w:val="24"/>
                <w:szCs w:val="24"/>
                <w:vertAlign w:val="superscript"/>
              </w:rPr>
              <w:t>4</w:t>
            </w:r>
            <w:r>
              <w:rPr>
                <w:rFonts w:hint="default" w:ascii="Times New Roman" w:hAnsi="Times New Roman" w:eastAsia="宋体" w:cs="Times New Roman"/>
                <w:sz w:val="24"/>
                <w:szCs w:val="24"/>
              </w:rPr>
              <w:t>Nm</w:t>
            </w:r>
            <w:r>
              <w:rPr>
                <w:rFonts w:hint="default" w:ascii="Times New Roman" w:hAnsi="Times New Roman" w:eastAsia="宋体" w:cs="Times New Roman"/>
                <w:sz w:val="24"/>
                <w:szCs w:val="24"/>
                <w:vertAlign w:val="superscript"/>
              </w:rPr>
              <w:t>3</w:t>
            </w:r>
          </w:p>
        </w:tc>
        <w:tc>
          <w:tcPr>
            <w:tcW w:w="2205" w:type="dxa"/>
            <w:noWrap w:val="0"/>
            <w:vAlign w:val="center"/>
          </w:tcPr>
          <w:p w14:paraId="4139EA8E">
            <w:pPr>
              <w:spacing w:line="24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低位发热量</w:t>
            </w:r>
          </w:p>
          <w:p w14:paraId="6F9D8F01">
            <w:pPr>
              <w:spacing w:line="24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GJ/10</w:t>
            </w:r>
            <w:r>
              <w:rPr>
                <w:rFonts w:hint="default" w:ascii="Times New Roman" w:hAnsi="Times New Roman" w:eastAsia="宋体" w:cs="Times New Roman"/>
                <w:sz w:val="24"/>
                <w:szCs w:val="24"/>
                <w:vertAlign w:val="superscript"/>
              </w:rPr>
              <w:t>4</w:t>
            </w:r>
            <w:r>
              <w:rPr>
                <w:rFonts w:hint="default" w:ascii="Times New Roman" w:hAnsi="Times New Roman" w:eastAsia="宋体" w:cs="Times New Roman"/>
                <w:sz w:val="24"/>
                <w:szCs w:val="24"/>
              </w:rPr>
              <w:t>Nm</w:t>
            </w:r>
            <w:r>
              <w:rPr>
                <w:rFonts w:hint="default" w:ascii="Times New Roman" w:hAnsi="Times New Roman" w:eastAsia="宋体" w:cs="Times New Roman"/>
                <w:sz w:val="24"/>
                <w:szCs w:val="24"/>
                <w:vertAlign w:val="superscript"/>
              </w:rPr>
              <w:t>3</w:t>
            </w:r>
          </w:p>
        </w:tc>
      </w:tr>
      <w:tr w14:paraId="73834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9" w:type="dxa"/>
            <w:noWrap w:val="0"/>
            <w:vAlign w:val="center"/>
          </w:tcPr>
          <w:p w14:paraId="6C3F26E7">
            <w:pPr>
              <w:spacing w:line="360" w:lineRule="auto"/>
              <w:ind w:left="0" w:leftChars="0" w:firstLine="0"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化石燃料燃烧</w:t>
            </w:r>
          </w:p>
        </w:tc>
        <w:tc>
          <w:tcPr>
            <w:tcW w:w="1455" w:type="dxa"/>
            <w:noWrap w:val="0"/>
            <w:vAlign w:val="center"/>
          </w:tcPr>
          <w:p w14:paraId="234B1A5D">
            <w:pPr>
              <w:spacing w:line="360" w:lineRule="auto"/>
              <w:ind w:left="0" w:leftChars="0" w:firstLine="0"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天然气</w:t>
            </w:r>
          </w:p>
        </w:tc>
        <w:tc>
          <w:tcPr>
            <w:tcW w:w="1417" w:type="dxa"/>
            <w:noWrap w:val="0"/>
            <w:vAlign w:val="center"/>
          </w:tcPr>
          <w:p w14:paraId="190D1CCB">
            <w:pPr>
              <w:spacing w:line="36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10</w:t>
            </w:r>
            <w:r>
              <w:rPr>
                <w:rFonts w:hint="default" w:ascii="Times New Roman" w:hAnsi="Times New Roman" w:eastAsia="宋体" w:cs="Times New Roman"/>
                <w:sz w:val="24"/>
                <w:szCs w:val="24"/>
                <w:vertAlign w:val="superscript"/>
              </w:rPr>
              <w:t xml:space="preserve">4 </w:t>
            </w:r>
            <w:r>
              <w:rPr>
                <w:rFonts w:hint="default" w:ascii="Times New Roman" w:hAnsi="Times New Roman" w:eastAsia="宋体" w:cs="Times New Roman"/>
                <w:sz w:val="24"/>
                <w:szCs w:val="24"/>
              </w:rPr>
              <w:t>Nm</w:t>
            </w:r>
            <w:r>
              <w:rPr>
                <w:rFonts w:hint="default" w:ascii="Times New Roman" w:hAnsi="Times New Roman" w:eastAsia="宋体" w:cs="Times New Roman"/>
                <w:sz w:val="24"/>
                <w:szCs w:val="24"/>
                <w:vertAlign w:val="superscript"/>
              </w:rPr>
              <w:t>3</w:t>
            </w:r>
          </w:p>
        </w:tc>
        <w:tc>
          <w:tcPr>
            <w:tcW w:w="1560" w:type="dxa"/>
            <w:noWrap w:val="0"/>
            <w:vAlign w:val="center"/>
          </w:tcPr>
          <w:p w14:paraId="18FFA328">
            <w:pPr>
              <w:spacing w:line="360" w:lineRule="auto"/>
              <w:ind w:left="0" w:leftChars="0" w:firstLine="0" w:firstLineChars="0"/>
              <w:jc w:val="both"/>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0.69</w:t>
            </w:r>
          </w:p>
        </w:tc>
        <w:tc>
          <w:tcPr>
            <w:tcW w:w="2205" w:type="dxa"/>
            <w:noWrap w:val="0"/>
            <w:vAlign w:val="center"/>
          </w:tcPr>
          <w:p w14:paraId="5182A772">
            <w:pPr>
              <w:spacing w:line="360" w:lineRule="auto"/>
              <w:ind w:left="0" w:leftChars="0" w:firstLine="0" w:firstLineChars="0"/>
              <w:jc w:val="both"/>
              <w:rPr>
                <w:rFonts w:hint="default" w:ascii="Times New Roman" w:hAnsi="Times New Roman" w:eastAsia="宋体" w:cs="Times New Roman"/>
                <w:sz w:val="24"/>
                <w:szCs w:val="24"/>
              </w:rPr>
            </w:pPr>
            <w:r>
              <w:rPr>
                <w:rFonts w:hint="eastAsia" w:ascii="Times New Roman" w:hAnsi="Times New Roman" w:cs="Times New Roman"/>
                <w:color w:val="000000"/>
                <w:sz w:val="24"/>
                <w:szCs w:val="24"/>
                <w:lang w:val="en-US" w:eastAsia="zh-CN"/>
              </w:rPr>
              <w:t>389.31</w:t>
            </w:r>
          </w:p>
        </w:tc>
      </w:tr>
      <w:tr w14:paraId="5C100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9" w:type="dxa"/>
            <w:vMerge w:val="restart"/>
            <w:noWrap w:val="0"/>
            <w:vAlign w:val="center"/>
          </w:tcPr>
          <w:p w14:paraId="3E1CCE63">
            <w:pPr>
              <w:spacing w:line="360" w:lineRule="auto"/>
              <w:ind w:left="0" w:leftChars="0" w:firstLine="0"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电力、热力</w:t>
            </w:r>
          </w:p>
        </w:tc>
        <w:tc>
          <w:tcPr>
            <w:tcW w:w="1455" w:type="dxa"/>
            <w:noWrap w:val="0"/>
            <w:vAlign w:val="center"/>
          </w:tcPr>
          <w:p w14:paraId="3CA108E3">
            <w:pPr>
              <w:spacing w:line="360" w:lineRule="auto"/>
              <w:ind w:left="0" w:leftChars="0" w:firstLine="0"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参数名称</w:t>
            </w:r>
          </w:p>
        </w:tc>
        <w:tc>
          <w:tcPr>
            <w:tcW w:w="2977" w:type="dxa"/>
            <w:gridSpan w:val="2"/>
            <w:noWrap w:val="0"/>
            <w:vAlign w:val="center"/>
          </w:tcPr>
          <w:p w14:paraId="13332788">
            <w:pPr>
              <w:spacing w:line="36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数据</w:t>
            </w:r>
          </w:p>
        </w:tc>
        <w:tc>
          <w:tcPr>
            <w:tcW w:w="2205" w:type="dxa"/>
            <w:noWrap w:val="0"/>
            <w:vAlign w:val="center"/>
          </w:tcPr>
          <w:p w14:paraId="554A73B8">
            <w:pPr>
              <w:spacing w:line="36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单位</w:t>
            </w:r>
          </w:p>
        </w:tc>
      </w:tr>
      <w:tr w14:paraId="00B30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9" w:type="dxa"/>
            <w:vMerge w:val="continue"/>
            <w:noWrap w:val="0"/>
            <w:vAlign w:val="center"/>
          </w:tcPr>
          <w:p w14:paraId="46B92E0F">
            <w:pPr>
              <w:spacing w:line="360" w:lineRule="auto"/>
              <w:rPr>
                <w:rFonts w:hint="default" w:ascii="Times New Roman" w:hAnsi="Times New Roman" w:eastAsia="宋体" w:cs="Times New Roman"/>
                <w:sz w:val="24"/>
                <w:szCs w:val="24"/>
              </w:rPr>
            </w:pPr>
          </w:p>
        </w:tc>
        <w:tc>
          <w:tcPr>
            <w:tcW w:w="1455" w:type="dxa"/>
            <w:noWrap w:val="0"/>
            <w:vAlign w:val="center"/>
          </w:tcPr>
          <w:p w14:paraId="6BF9F1D0">
            <w:pPr>
              <w:spacing w:line="360" w:lineRule="auto"/>
              <w:ind w:left="0" w:leftChars="0" w:firstLine="0"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购入的电力</w:t>
            </w:r>
          </w:p>
        </w:tc>
        <w:tc>
          <w:tcPr>
            <w:tcW w:w="2977" w:type="dxa"/>
            <w:gridSpan w:val="2"/>
            <w:noWrap w:val="0"/>
            <w:vAlign w:val="center"/>
          </w:tcPr>
          <w:p w14:paraId="30A17A3C">
            <w:pPr>
              <w:spacing w:line="360" w:lineRule="auto"/>
              <w:ind w:left="0" w:leftChars="0" w:firstLine="0" w:firstLineChars="0"/>
              <w:jc w:val="both"/>
              <w:rPr>
                <w:rFonts w:hint="default" w:ascii="Times New Roman" w:hAnsi="Times New Roman" w:eastAsia="宋体" w:cs="Times New Roman"/>
                <w:sz w:val="24"/>
                <w:szCs w:val="24"/>
                <w:lang w:val="en-US"/>
              </w:rPr>
            </w:pPr>
            <w:r>
              <w:rPr>
                <w:rFonts w:hint="eastAsia" w:ascii="Times New Roman" w:hAnsi="Times New Roman" w:cs="Times New Roman"/>
                <w:color w:val="000000"/>
                <w:sz w:val="24"/>
                <w:szCs w:val="24"/>
                <w:lang w:val="en-US" w:eastAsia="zh-CN"/>
              </w:rPr>
              <w:t>5710</w:t>
            </w:r>
          </w:p>
        </w:tc>
        <w:tc>
          <w:tcPr>
            <w:tcW w:w="2205" w:type="dxa"/>
            <w:noWrap w:val="0"/>
            <w:vAlign w:val="center"/>
          </w:tcPr>
          <w:p w14:paraId="5546C47A">
            <w:pPr>
              <w:spacing w:line="36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MWh</w:t>
            </w:r>
          </w:p>
        </w:tc>
      </w:tr>
      <w:tr w14:paraId="1A20F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9" w:type="dxa"/>
            <w:vMerge w:val="continue"/>
            <w:noWrap w:val="0"/>
            <w:vAlign w:val="center"/>
          </w:tcPr>
          <w:p w14:paraId="7DBFFE35">
            <w:pPr>
              <w:spacing w:line="360" w:lineRule="auto"/>
              <w:rPr>
                <w:rFonts w:hint="default" w:ascii="Times New Roman" w:hAnsi="Times New Roman" w:eastAsia="宋体" w:cs="Times New Roman"/>
                <w:sz w:val="24"/>
                <w:szCs w:val="24"/>
              </w:rPr>
            </w:pPr>
          </w:p>
        </w:tc>
        <w:tc>
          <w:tcPr>
            <w:tcW w:w="1455" w:type="dxa"/>
            <w:noWrap w:val="0"/>
            <w:vAlign w:val="center"/>
          </w:tcPr>
          <w:p w14:paraId="2D517ED6">
            <w:pPr>
              <w:spacing w:line="360" w:lineRule="auto"/>
              <w:ind w:left="0" w:leftChars="0" w:firstLine="0"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购入的热力</w:t>
            </w:r>
          </w:p>
        </w:tc>
        <w:tc>
          <w:tcPr>
            <w:tcW w:w="2977" w:type="dxa"/>
            <w:gridSpan w:val="2"/>
            <w:noWrap w:val="0"/>
            <w:vAlign w:val="center"/>
          </w:tcPr>
          <w:p w14:paraId="4FE37348">
            <w:pPr>
              <w:spacing w:line="36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w:t>
            </w:r>
          </w:p>
        </w:tc>
        <w:tc>
          <w:tcPr>
            <w:tcW w:w="2205" w:type="dxa"/>
            <w:noWrap w:val="0"/>
            <w:vAlign w:val="center"/>
          </w:tcPr>
          <w:p w14:paraId="478231D3">
            <w:pPr>
              <w:spacing w:line="36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GJ</w:t>
            </w:r>
          </w:p>
        </w:tc>
      </w:tr>
    </w:tbl>
    <w:p w14:paraId="0D149481">
      <w:pPr>
        <w:spacing w:line="360" w:lineRule="auto"/>
        <w:rPr>
          <w:rFonts w:hint="default" w:ascii="Times New Roman" w:hAnsi="Times New Roman" w:eastAsia="宋体" w:cs="Times New Roman"/>
          <w:sz w:val="11"/>
          <w:szCs w:val="11"/>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9"/>
        <w:gridCol w:w="1455"/>
        <w:gridCol w:w="1417"/>
        <w:gridCol w:w="1560"/>
        <w:gridCol w:w="2205"/>
      </w:tblGrid>
      <w:tr w14:paraId="339CF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9" w:type="dxa"/>
            <w:noWrap w:val="0"/>
            <w:vAlign w:val="center"/>
          </w:tcPr>
          <w:p w14:paraId="719A8C1B">
            <w:pPr>
              <w:spacing w:line="36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排放源类别</w:t>
            </w:r>
          </w:p>
        </w:tc>
        <w:tc>
          <w:tcPr>
            <w:tcW w:w="1455" w:type="dxa"/>
            <w:noWrap w:val="0"/>
            <w:vAlign w:val="center"/>
          </w:tcPr>
          <w:p w14:paraId="38A74B88">
            <w:pPr>
              <w:spacing w:line="36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燃料种类</w:t>
            </w:r>
          </w:p>
        </w:tc>
        <w:tc>
          <w:tcPr>
            <w:tcW w:w="1417" w:type="dxa"/>
            <w:noWrap w:val="0"/>
            <w:vAlign w:val="center"/>
          </w:tcPr>
          <w:p w14:paraId="1C47FC09">
            <w:pPr>
              <w:spacing w:line="36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计量单位</w:t>
            </w:r>
          </w:p>
        </w:tc>
        <w:tc>
          <w:tcPr>
            <w:tcW w:w="1560" w:type="dxa"/>
            <w:noWrap w:val="0"/>
            <w:vAlign w:val="center"/>
          </w:tcPr>
          <w:p w14:paraId="179BC73D">
            <w:pPr>
              <w:spacing w:line="24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消耗量</w:t>
            </w:r>
          </w:p>
          <w:p w14:paraId="119EEA98">
            <w:pPr>
              <w:spacing w:line="24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10</w:t>
            </w:r>
            <w:r>
              <w:rPr>
                <w:rFonts w:hint="default" w:ascii="Times New Roman" w:hAnsi="Times New Roman" w:eastAsia="宋体" w:cs="Times New Roman"/>
                <w:sz w:val="24"/>
                <w:szCs w:val="24"/>
                <w:vertAlign w:val="superscript"/>
              </w:rPr>
              <w:t>4</w:t>
            </w:r>
            <w:r>
              <w:rPr>
                <w:rFonts w:hint="default" w:ascii="Times New Roman" w:hAnsi="Times New Roman" w:eastAsia="宋体" w:cs="Times New Roman"/>
                <w:sz w:val="24"/>
                <w:szCs w:val="24"/>
              </w:rPr>
              <w:t>Nm</w:t>
            </w:r>
            <w:r>
              <w:rPr>
                <w:rFonts w:hint="default" w:ascii="Times New Roman" w:hAnsi="Times New Roman" w:eastAsia="宋体" w:cs="Times New Roman"/>
                <w:sz w:val="24"/>
                <w:szCs w:val="24"/>
                <w:vertAlign w:val="superscript"/>
              </w:rPr>
              <w:t>3</w:t>
            </w:r>
          </w:p>
        </w:tc>
        <w:tc>
          <w:tcPr>
            <w:tcW w:w="2205" w:type="dxa"/>
            <w:noWrap w:val="0"/>
            <w:vAlign w:val="center"/>
          </w:tcPr>
          <w:p w14:paraId="43684E9C">
            <w:pPr>
              <w:spacing w:line="24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低位发热量</w:t>
            </w:r>
          </w:p>
          <w:p w14:paraId="35BE9690">
            <w:pPr>
              <w:spacing w:line="24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GJ/10</w:t>
            </w:r>
            <w:r>
              <w:rPr>
                <w:rFonts w:hint="default" w:ascii="Times New Roman" w:hAnsi="Times New Roman" w:eastAsia="宋体" w:cs="Times New Roman"/>
                <w:sz w:val="24"/>
                <w:szCs w:val="24"/>
                <w:vertAlign w:val="superscript"/>
              </w:rPr>
              <w:t>4</w:t>
            </w:r>
            <w:r>
              <w:rPr>
                <w:rFonts w:hint="default" w:ascii="Times New Roman" w:hAnsi="Times New Roman" w:eastAsia="宋体" w:cs="Times New Roman"/>
                <w:sz w:val="24"/>
                <w:szCs w:val="24"/>
              </w:rPr>
              <w:t>Nm</w:t>
            </w:r>
            <w:r>
              <w:rPr>
                <w:rFonts w:hint="default" w:ascii="Times New Roman" w:hAnsi="Times New Roman" w:eastAsia="宋体" w:cs="Times New Roman"/>
                <w:sz w:val="24"/>
                <w:szCs w:val="24"/>
                <w:vertAlign w:val="superscript"/>
              </w:rPr>
              <w:t>3</w:t>
            </w:r>
          </w:p>
        </w:tc>
      </w:tr>
      <w:tr w14:paraId="4EDED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9" w:type="dxa"/>
            <w:noWrap w:val="0"/>
            <w:vAlign w:val="center"/>
          </w:tcPr>
          <w:p w14:paraId="3328B4D4">
            <w:pPr>
              <w:spacing w:line="360" w:lineRule="auto"/>
              <w:ind w:left="0" w:leftChars="0" w:firstLine="0"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化石燃料燃烧</w:t>
            </w:r>
          </w:p>
        </w:tc>
        <w:tc>
          <w:tcPr>
            <w:tcW w:w="1455" w:type="dxa"/>
            <w:noWrap w:val="0"/>
            <w:vAlign w:val="center"/>
          </w:tcPr>
          <w:p w14:paraId="374144E2">
            <w:pPr>
              <w:spacing w:line="360" w:lineRule="auto"/>
              <w:ind w:left="0" w:leftChars="0" w:firstLine="0" w:firstLineChars="0"/>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val="en-US" w:eastAsia="zh-CN"/>
              </w:rPr>
              <w:t>柴油</w:t>
            </w:r>
          </w:p>
        </w:tc>
        <w:tc>
          <w:tcPr>
            <w:tcW w:w="1417" w:type="dxa"/>
            <w:noWrap w:val="0"/>
            <w:vAlign w:val="center"/>
          </w:tcPr>
          <w:p w14:paraId="1AD0BDEB">
            <w:pPr>
              <w:spacing w:line="36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10</w:t>
            </w:r>
            <w:r>
              <w:rPr>
                <w:rFonts w:hint="default" w:ascii="Times New Roman" w:hAnsi="Times New Roman" w:eastAsia="宋体" w:cs="Times New Roman"/>
                <w:sz w:val="24"/>
                <w:szCs w:val="24"/>
                <w:vertAlign w:val="superscript"/>
              </w:rPr>
              <w:t xml:space="preserve">4 </w:t>
            </w:r>
            <w:r>
              <w:rPr>
                <w:rFonts w:hint="default" w:ascii="Times New Roman" w:hAnsi="Times New Roman" w:eastAsia="宋体" w:cs="Times New Roman"/>
                <w:sz w:val="24"/>
                <w:szCs w:val="24"/>
              </w:rPr>
              <w:t>Nm</w:t>
            </w:r>
            <w:r>
              <w:rPr>
                <w:rFonts w:hint="default" w:ascii="Times New Roman" w:hAnsi="Times New Roman" w:eastAsia="宋体" w:cs="Times New Roman"/>
                <w:sz w:val="24"/>
                <w:szCs w:val="24"/>
                <w:vertAlign w:val="superscript"/>
              </w:rPr>
              <w:t>3</w:t>
            </w:r>
          </w:p>
        </w:tc>
        <w:tc>
          <w:tcPr>
            <w:tcW w:w="1560" w:type="dxa"/>
            <w:noWrap w:val="0"/>
            <w:vAlign w:val="center"/>
          </w:tcPr>
          <w:p w14:paraId="518C6A71">
            <w:pPr>
              <w:spacing w:line="360" w:lineRule="auto"/>
              <w:ind w:left="0" w:leftChars="0" w:firstLine="0" w:firstLineChars="0"/>
              <w:jc w:val="both"/>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0.0097</w:t>
            </w:r>
          </w:p>
        </w:tc>
        <w:tc>
          <w:tcPr>
            <w:tcW w:w="2205" w:type="dxa"/>
            <w:noWrap w:val="0"/>
            <w:vAlign w:val="center"/>
          </w:tcPr>
          <w:p w14:paraId="1817440C">
            <w:pPr>
              <w:spacing w:line="360" w:lineRule="auto"/>
              <w:ind w:left="0" w:leftChars="0" w:firstLine="0" w:firstLineChars="0"/>
              <w:jc w:val="both"/>
              <w:rPr>
                <w:rFonts w:hint="default" w:ascii="Times New Roman" w:hAnsi="Times New Roman" w:eastAsia="宋体" w:cs="Times New Roman"/>
                <w:sz w:val="24"/>
                <w:szCs w:val="24"/>
              </w:rPr>
            </w:pPr>
            <w:r>
              <w:rPr>
                <w:rFonts w:hint="eastAsia" w:ascii="Times New Roman" w:hAnsi="Times New Roman" w:cs="Times New Roman"/>
                <w:color w:val="000000"/>
                <w:sz w:val="24"/>
                <w:szCs w:val="24"/>
                <w:lang w:val="en-US" w:eastAsia="zh-CN"/>
              </w:rPr>
              <w:t>43.33</w:t>
            </w:r>
          </w:p>
        </w:tc>
      </w:tr>
      <w:tr w14:paraId="7FDE4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9" w:type="dxa"/>
            <w:vMerge w:val="restart"/>
            <w:noWrap w:val="0"/>
            <w:vAlign w:val="center"/>
          </w:tcPr>
          <w:p w14:paraId="2E562D74">
            <w:pPr>
              <w:spacing w:line="360" w:lineRule="auto"/>
              <w:ind w:left="0" w:leftChars="0" w:firstLine="0"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电力、热力</w:t>
            </w:r>
          </w:p>
        </w:tc>
        <w:tc>
          <w:tcPr>
            <w:tcW w:w="1455" w:type="dxa"/>
            <w:noWrap w:val="0"/>
            <w:vAlign w:val="center"/>
          </w:tcPr>
          <w:p w14:paraId="5C7F632C">
            <w:pPr>
              <w:spacing w:line="360" w:lineRule="auto"/>
              <w:ind w:left="0" w:leftChars="0" w:firstLine="0"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参数名称</w:t>
            </w:r>
          </w:p>
        </w:tc>
        <w:tc>
          <w:tcPr>
            <w:tcW w:w="2977" w:type="dxa"/>
            <w:gridSpan w:val="2"/>
            <w:noWrap w:val="0"/>
            <w:vAlign w:val="center"/>
          </w:tcPr>
          <w:p w14:paraId="28EE6B1C">
            <w:pPr>
              <w:spacing w:line="36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数据</w:t>
            </w:r>
          </w:p>
        </w:tc>
        <w:tc>
          <w:tcPr>
            <w:tcW w:w="2205" w:type="dxa"/>
            <w:noWrap w:val="0"/>
            <w:vAlign w:val="center"/>
          </w:tcPr>
          <w:p w14:paraId="46C3908A">
            <w:pPr>
              <w:spacing w:line="36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单位</w:t>
            </w:r>
          </w:p>
        </w:tc>
      </w:tr>
      <w:tr w14:paraId="2D78C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9" w:type="dxa"/>
            <w:vMerge w:val="continue"/>
            <w:noWrap w:val="0"/>
            <w:vAlign w:val="center"/>
          </w:tcPr>
          <w:p w14:paraId="225E05DE">
            <w:pPr>
              <w:spacing w:line="360" w:lineRule="auto"/>
              <w:rPr>
                <w:rFonts w:hint="default" w:ascii="Times New Roman" w:hAnsi="Times New Roman" w:eastAsia="宋体" w:cs="Times New Roman"/>
                <w:sz w:val="24"/>
                <w:szCs w:val="24"/>
              </w:rPr>
            </w:pPr>
          </w:p>
        </w:tc>
        <w:tc>
          <w:tcPr>
            <w:tcW w:w="1455" w:type="dxa"/>
            <w:noWrap w:val="0"/>
            <w:vAlign w:val="center"/>
          </w:tcPr>
          <w:p w14:paraId="7AB731D0">
            <w:pPr>
              <w:spacing w:line="360" w:lineRule="auto"/>
              <w:ind w:left="0" w:leftChars="0" w:firstLine="0"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购入的电力</w:t>
            </w:r>
          </w:p>
        </w:tc>
        <w:tc>
          <w:tcPr>
            <w:tcW w:w="2977" w:type="dxa"/>
            <w:gridSpan w:val="2"/>
            <w:noWrap w:val="0"/>
            <w:vAlign w:val="center"/>
          </w:tcPr>
          <w:p w14:paraId="2484967B">
            <w:pPr>
              <w:spacing w:line="360" w:lineRule="auto"/>
              <w:ind w:left="0" w:leftChars="0" w:firstLine="0" w:firstLineChars="0"/>
              <w:jc w:val="both"/>
              <w:rPr>
                <w:rFonts w:hint="default" w:ascii="Times New Roman" w:hAnsi="Times New Roman" w:eastAsia="宋体" w:cs="Times New Roman"/>
                <w:sz w:val="24"/>
                <w:szCs w:val="24"/>
                <w:lang w:val="en-US"/>
              </w:rPr>
            </w:pPr>
            <w:r>
              <w:rPr>
                <w:rFonts w:hint="eastAsia" w:ascii="Times New Roman" w:hAnsi="Times New Roman" w:cs="Times New Roman"/>
                <w:color w:val="000000"/>
                <w:sz w:val="24"/>
                <w:szCs w:val="24"/>
                <w:lang w:val="en-US" w:eastAsia="zh-CN"/>
              </w:rPr>
              <w:t>5710</w:t>
            </w:r>
          </w:p>
        </w:tc>
        <w:tc>
          <w:tcPr>
            <w:tcW w:w="2205" w:type="dxa"/>
            <w:noWrap w:val="0"/>
            <w:vAlign w:val="center"/>
          </w:tcPr>
          <w:p w14:paraId="6655E18A">
            <w:pPr>
              <w:spacing w:line="36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MWh</w:t>
            </w:r>
          </w:p>
        </w:tc>
      </w:tr>
      <w:tr w14:paraId="2266F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9" w:type="dxa"/>
            <w:vMerge w:val="continue"/>
            <w:noWrap w:val="0"/>
            <w:vAlign w:val="center"/>
          </w:tcPr>
          <w:p w14:paraId="2282B164">
            <w:pPr>
              <w:spacing w:line="360" w:lineRule="auto"/>
              <w:rPr>
                <w:rFonts w:hint="default" w:ascii="Times New Roman" w:hAnsi="Times New Roman" w:eastAsia="宋体" w:cs="Times New Roman"/>
                <w:sz w:val="24"/>
                <w:szCs w:val="24"/>
              </w:rPr>
            </w:pPr>
          </w:p>
        </w:tc>
        <w:tc>
          <w:tcPr>
            <w:tcW w:w="1455" w:type="dxa"/>
            <w:noWrap w:val="0"/>
            <w:vAlign w:val="center"/>
          </w:tcPr>
          <w:p w14:paraId="4EF22810">
            <w:pPr>
              <w:spacing w:line="360" w:lineRule="auto"/>
              <w:ind w:left="0" w:leftChars="0" w:firstLine="0"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购入的热力</w:t>
            </w:r>
          </w:p>
        </w:tc>
        <w:tc>
          <w:tcPr>
            <w:tcW w:w="2977" w:type="dxa"/>
            <w:gridSpan w:val="2"/>
            <w:noWrap w:val="0"/>
            <w:vAlign w:val="center"/>
          </w:tcPr>
          <w:p w14:paraId="2021F38A">
            <w:pPr>
              <w:spacing w:line="36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w:t>
            </w:r>
          </w:p>
        </w:tc>
        <w:tc>
          <w:tcPr>
            <w:tcW w:w="2205" w:type="dxa"/>
            <w:noWrap w:val="0"/>
            <w:vAlign w:val="center"/>
          </w:tcPr>
          <w:p w14:paraId="5D6BCBCA">
            <w:pPr>
              <w:spacing w:line="36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GJ</w:t>
            </w:r>
          </w:p>
        </w:tc>
      </w:tr>
    </w:tbl>
    <w:p w14:paraId="0098DAD0">
      <w:pPr>
        <w:pStyle w:val="2"/>
        <w:rPr>
          <w:rFonts w:hint="default"/>
        </w:rPr>
      </w:pPr>
    </w:p>
    <w:p w14:paraId="23651376">
      <w:pPr>
        <w:pStyle w:val="27"/>
        <w:bidi w:val="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表A.3  排放因子和计算系数</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9"/>
        <w:gridCol w:w="1659"/>
        <w:gridCol w:w="2773"/>
        <w:gridCol w:w="2205"/>
      </w:tblGrid>
      <w:tr w14:paraId="72F0B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9" w:type="dxa"/>
            <w:noWrap w:val="0"/>
            <w:vAlign w:val="center"/>
          </w:tcPr>
          <w:p w14:paraId="3FC5402E">
            <w:pPr>
              <w:spacing w:line="36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排放源类别</w:t>
            </w:r>
          </w:p>
        </w:tc>
        <w:tc>
          <w:tcPr>
            <w:tcW w:w="1659" w:type="dxa"/>
            <w:noWrap w:val="0"/>
            <w:vAlign w:val="center"/>
          </w:tcPr>
          <w:p w14:paraId="764F3B73">
            <w:pPr>
              <w:spacing w:line="36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燃料种类</w:t>
            </w:r>
          </w:p>
        </w:tc>
        <w:tc>
          <w:tcPr>
            <w:tcW w:w="2773" w:type="dxa"/>
            <w:noWrap w:val="0"/>
            <w:vAlign w:val="center"/>
          </w:tcPr>
          <w:p w14:paraId="646E7728">
            <w:pPr>
              <w:spacing w:line="24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单位热值含碳量</w:t>
            </w:r>
          </w:p>
          <w:p w14:paraId="4B4F576A">
            <w:pPr>
              <w:spacing w:line="24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tC/GJ</w:t>
            </w:r>
          </w:p>
        </w:tc>
        <w:tc>
          <w:tcPr>
            <w:tcW w:w="2205" w:type="dxa"/>
            <w:noWrap w:val="0"/>
            <w:vAlign w:val="center"/>
          </w:tcPr>
          <w:p w14:paraId="25C624C5">
            <w:pPr>
              <w:spacing w:line="24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碳氧化率%</w:t>
            </w:r>
          </w:p>
        </w:tc>
      </w:tr>
      <w:tr w14:paraId="0672A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9" w:type="dxa"/>
            <w:noWrap w:val="0"/>
            <w:vAlign w:val="center"/>
          </w:tcPr>
          <w:p w14:paraId="1DECE132">
            <w:pPr>
              <w:spacing w:line="360" w:lineRule="auto"/>
              <w:ind w:left="0" w:leftChars="0" w:firstLine="0"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燃料燃烧</w:t>
            </w:r>
          </w:p>
        </w:tc>
        <w:tc>
          <w:tcPr>
            <w:tcW w:w="1659" w:type="dxa"/>
            <w:noWrap w:val="0"/>
            <w:vAlign w:val="center"/>
          </w:tcPr>
          <w:p w14:paraId="7AD9D477">
            <w:pPr>
              <w:spacing w:line="360" w:lineRule="auto"/>
              <w:ind w:left="0" w:leftChars="0" w:firstLine="0"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天然气</w:t>
            </w:r>
          </w:p>
        </w:tc>
        <w:tc>
          <w:tcPr>
            <w:tcW w:w="2773" w:type="dxa"/>
            <w:noWrap w:val="0"/>
            <w:vAlign w:val="center"/>
          </w:tcPr>
          <w:p w14:paraId="5658A6AB">
            <w:pPr>
              <w:spacing w:line="360" w:lineRule="auto"/>
              <w:ind w:left="0" w:leftChars="0" w:firstLine="0" w:firstLineChars="0"/>
              <w:jc w:val="both"/>
              <w:rPr>
                <w:rFonts w:hint="default" w:ascii="Times New Roman" w:hAnsi="Times New Roman" w:eastAsia="宋体" w:cs="Times New Roman"/>
                <w:sz w:val="24"/>
                <w:szCs w:val="24"/>
              </w:rPr>
            </w:pPr>
            <w:r>
              <w:rPr>
                <w:rFonts w:hint="eastAsia" w:ascii="Times New Roman" w:hAnsi="Times New Roman" w:cs="Times New Roman"/>
                <w:color w:val="000000"/>
                <w:sz w:val="24"/>
                <w:szCs w:val="24"/>
                <w:lang w:val="en-US" w:eastAsia="zh-CN"/>
              </w:rPr>
              <w:t>15.30×10</w:t>
            </w:r>
            <w:r>
              <w:rPr>
                <w:rFonts w:hint="eastAsia" w:ascii="Times New Roman" w:hAnsi="Times New Roman" w:cs="Times New Roman"/>
                <w:color w:val="000000"/>
                <w:sz w:val="24"/>
                <w:szCs w:val="24"/>
                <w:vertAlign w:val="superscript"/>
                <w:lang w:val="en-US" w:eastAsia="zh-CN"/>
              </w:rPr>
              <w:t>-3</w:t>
            </w:r>
          </w:p>
        </w:tc>
        <w:tc>
          <w:tcPr>
            <w:tcW w:w="2205" w:type="dxa"/>
            <w:noWrap w:val="0"/>
            <w:vAlign w:val="center"/>
          </w:tcPr>
          <w:p w14:paraId="296FDA86">
            <w:pPr>
              <w:spacing w:line="36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99</w:t>
            </w:r>
          </w:p>
        </w:tc>
      </w:tr>
      <w:tr w14:paraId="63E1A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9" w:type="dxa"/>
            <w:vMerge w:val="restart"/>
            <w:noWrap w:val="0"/>
            <w:vAlign w:val="center"/>
          </w:tcPr>
          <w:p w14:paraId="6552B3C0">
            <w:pPr>
              <w:spacing w:line="360" w:lineRule="auto"/>
              <w:ind w:left="0" w:leftChars="0" w:firstLine="0"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电力、热力</w:t>
            </w:r>
          </w:p>
        </w:tc>
        <w:tc>
          <w:tcPr>
            <w:tcW w:w="1659" w:type="dxa"/>
            <w:noWrap w:val="0"/>
            <w:vAlign w:val="center"/>
          </w:tcPr>
          <w:p w14:paraId="3CDF0001">
            <w:pPr>
              <w:spacing w:line="360" w:lineRule="auto"/>
              <w:ind w:left="0" w:leftChars="0" w:firstLine="0"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参数名称</w:t>
            </w:r>
          </w:p>
        </w:tc>
        <w:tc>
          <w:tcPr>
            <w:tcW w:w="2773" w:type="dxa"/>
            <w:noWrap w:val="0"/>
            <w:vAlign w:val="center"/>
          </w:tcPr>
          <w:p w14:paraId="1550B0AF">
            <w:pPr>
              <w:spacing w:line="36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数据</w:t>
            </w:r>
          </w:p>
        </w:tc>
        <w:tc>
          <w:tcPr>
            <w:tcW w:w="2205" w:type="dxa"/>
            <w:noWrap w:val="0"/>
            <w:vAlign w:val="center"/>
          </w:tcPr>
          <w:p w14:paraId="550E9210">
            <w:pPr>
              <w:spacing w:line="36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单位</w:t>
            </w:r>
          </w:p>
        </w:tc>
      </w:tr>
      <w:tr w14:paraId="72673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9" w:type="dxa"/>
            <w:vMerge w:val="continue"/>
            <w:noWrap w:val="0"/>
            <w:vAlign w:val="center"/>
          </w:tcPr>
          <w:p w14:paraId="2AC7165E">
            <w:pPr>
              <w:spacing w:line="360" w:lineRule="auto"/>
              <w:rPr>
                <w:rFonts w:hint="default" w:ascii="Times New Roman" w:hAnsi="Times New Roman" w:eastAsia="宋体" w:cs="Times New Roman"/>
                <w:sz w:val="24"/>
                <w:szCs w:val="24"/>
              </w:rPr>
            </w:pPr>
          </w:p>
        </w:tc>
        <w:tc>
          <w:tcPr>
            <w:tcW w:w="1659" w:type="dxa"/>
            <w:noWrap w:val="0"/>
            <w:vAlign w:val="center"/>
          </w:tcPr>
          <w:p w14:paraId="4C73DF35">
            <w:pPr>
              <w:spacing w:line="360" w:lineRule="auto"/>
              <w:ind w:left="0" w:leftChars="0" w:firstLine="0"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购入的电力</w:t>
            </w:r>
          </w:p>
        </w:tc>
        <w:tc>
          <w:tcPr>
            <w:tcW w:w="2773" w:type="dxa"/>
            <w:noWrap w:val="0"/>
            <w:vAlign w:val="center"/>
          </w:tcPr>
          <w:p w14:paraId="532F29D5">
            <w:pPr>
              <w:spacing w:line="360" w:lineRule="auto"/>
              <w:ind w:left="0" w:leftChars="0" w:firstLine="0" w:firstLineChars="0"/>
              <w:jc w:val="both"/>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0.</w:t>
            </w:r>
            <w:r>
              <w:rPr>
                <w:rFonts w:hint="eastAsia" w:ascii="Times New Roman" w:hAnsi="Times New Roman" w:eastAsia="宋体" w:cs="Times New Roman"/>
                <w:sz w:val="24"/>
                <w:szCs w:val="24"/>
                <w:lang w:val="en-US" w:eastAsia="zh-CN"/>
              </w:rPr>
              <w:t>6782</w:t>
            </w:r>
          </w:p>
        </w:tc>
        <w:tc>
          <w:tcPr>
            <w:tcW w:w="2205" w:type="dxa"/>
            <w:noWrap w:val="0"/>
            <w:vAlign w:val="center"/>
          </w:tcPr>
          <w:p w14:paraId="6BC27586">
            <w:pPr>
              <w:spacing w:line="36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tCO</w:t>
            </w:r>
            <w:r>
              <w:rPr>
                <w:rFonts w:hint="default" w:ascii="Times New Roman" w:hAnsi="Times New Roman" w:eastAsia="宋体" w:cs="Times New Roman"/>
                <w:sz w:val="24"/>
                <w:szCs w:val="24"/>
                <w:vertAlign w:val="subscript"/>
              </w:rPr>
              <w:t>2</w:t>
            </w:r>
            <w:r>
              <w:rPr>
                <w:rFonts w:hint="default" w:ascii="Times New Roman" w:hAnsi="Times New Roman" w:eastAsia="宋体" w:cs="Times New Roman"/>
                <w:sz w:val="24"/>
                <w:szCs w:val="24"/>
              </w:rPr>
              <w:t>/MWh</w:t>
            </w:r>
          </w:p>
        </w:tc>
      </w:tr>
      <w:tr w14:paraId="3C485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9" w:type="dxa"/>
            <w:vMerge w:val="continue"/>
            <w:noWrap w:val="0"/>
            <w:vAlign w:val="center"/>
          </w:tcPr>
          <w:p w14:paraId="614CCCEC">
            <w:pPr>
              <w:spacing w:line="360" w:lineRule="auto"/>
              <w:rPr>
                <w:rFonts w:hint="default" w:ascii="Times New Roman" w:hAnsi="Times New Roman" w:eastAsia="宋体" w:cs="Times New Roman"/>
                <w:sz w:val="24"/>
                <w:szCs w:val="24"/>
              </w:rPr>
            </w:pPr>
          </w:p>
        </w:tc>
        <w:tc>
          <w:tcPr>
            <w:tcW w:w="1659" w:type="dxa"/>
            <w:noWrap w:val="0"/>
            <w:vAlign w:val="center"/>
          </w:tcPr>
          <w:p w14:paraId="230E5F9B">
            <w:pPr>
              <w:spacing w:line="360" w:lineRule="auto"/>
              <w:ind w:left="0" w:leftChars="0" w:firstLine="0"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购入的热力</w:t>
            </w:r>
          </w:p>
        </w:tc>
        <w:tc>
          <w:tcPr>
            <w:tcW w:w="2773" w:type="dxa"/>
            <w:noWrap w:val="0"/>
            <w:vAlign w:val="center"/>
          </w:tcPr>
          <w:p w14:paraId="7D50B61B">
            <w:pPr>
              <w:spacing w:line="36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w:t>
            </w:r>
          </w:p>
        </w:tc>
        <w:tc>
          <w:tcPr>
            <w:tcW w:w="2205" w:type="dxa"/>
            <w:noWrap w:val="0"/>
            <w:vAlign w:val="center"/>
          </w:tcPr>
          <w:p w14:paraId="4800571E">
            <w:pPr>
              <w:spacing w:line="36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tCO</w:t>
            </w:r>
            <w:r>
              <w:rPr>
                <w:rFonts w:hint="default" w:ascii="Times New Roman" w:hAnsi="Times New Roman" w:eastAsia="宋体" w:cs="Times New Roman"/>
                <w:sz w:val="24"/>
                <w:szCs w:val="24"/>
                <w:vertAlign w:val="subscript"/>
              </w:rPr>
              <w:t>2</w:t>
            </w:r>
            <w:r>
              <w:rPr>
                <w:rFonts w:hint="default" w:ascii="Times New Roman" w:hAnsi="Times New Roman" w:eastAsia="宋体" w:cs="Times New Roman"/>
                <w:sz w:val="24"/>
                <w:szCs w:val="24"/>
              </w:rPr>
              <w:t>/GJ</w:t>
            </w:r>
          </w:p>
        </w:tc>
      </w:tr>
    </w:tbl>
    <w:p w14:paraId="405F8924">
      <w:pPr>
        <w:spacing w:line="360" w:lineRule="auto"/>
        <w:rPr>
          <w:rFonts w:hint="default" w:ascii="Times New Roman" w:hAnsi="Times New Roman" w:eastAsia="宋体" w:cs="Times New Roman"/>
          <w:color w:val="0070C0"/>
          <w:sz w:val="18"/>
          <w:szCs w:val="18"/>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9"/>
        <w:gridCol w:w="1659"/>
        <w:gridCol w:w="2773"/>
        <w:gridCol w:w="2205"/>
      </w:tblGrid>
      <w:tr w14:paraId="520BC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9" w:type="dxa"/>
            <w:noWrap w:val="0"/>
            <w:vAlign w:val="center"/>
          </w:tcPr>
          <w:p w14:paraId="30EC78B4">
            <w:pPr>
              <w:spacing w:line="36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排放源类别</w:t>
            </w:r>
          </w:p>
        </w:tc>
        <w:tc>
          <w:tcPr>
            <w:tcW w:w="1659" w:type="dxa"/>
            <w:noWrap w:val="0"/>
            <w:vAlign w:val="center"/>
          </w:tcPr>
          <w:p w14:paraId="6A540B71">
            <w:pPr>
              <w:spacing w:line="36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燃料种类</w:t>
            </w:r>
          </w:p>
        </w:tc>
        <w:tc>
          <w:tcPr>
            <w:tcW w:w="2773" w:type="dxa"/>
            <w:noWrap w:val="0"/>
            <w:vAlign w:val="center"/>
          </w:tcPr>
          <w:p w14:paraId="75CEE56B">
            <w:pPr>
              <w:spacing w:line="24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单位热值含碳量</w:t>
            </w:r>
          </w:p>
          <w:p w14:paraId="21279866">
            <w:pPr>
              <w:spacing w:line="24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tC/GJ</w:t>
            </w:r>
          </w:p>
        </w:tc>
        <w:tc>
          <w:tcPr>
            <w:tcW w:w="2205" w:type="dxa"/>
            <w:noWrap w:val="0"/>
            <w:vAlign w:val="center"/>
          </w:tcPr>
          <w:p w14:paraId="46903C4F">
            <w:pPr>
              <w:spacing w:line="24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碳氧化率%</w:t>
            </w:r>
          </w:p>
        </w:tc>
      </w:tr>
      <w:tr w14:paraId="10640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9" w:type="dxa"/>
            <w:noWrap w:val="0"/>
            <w:vAlign w:val="center"/>
          </w:tcPr>
          <w:p w14:paraId="0A1DC249">
            <w:pPr>
              <w:spacing w:line="360" w:lineRule="auto"/>
              <w:ind w:left="0" w:leftChars="0" w:firstLine="0"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燃料燃烧</w:t>
            </w:r>
          </w:p>
        </w:tc>
        <w:tc>
          <w:tcPr>
            <w:tcW w:w="1659" w:type="dxa"/>
            <w:noWrap w:val="0"/>
            <w:vAlign w:val="center"/>
          </w:tcPr>
          <w:p w14:paraId="35987291">
            <w:pPr>
              <w:spacing w:line="360" w:lineRule="auto"/>
              <w:ind w:left="0" w:leftChars="0" w:firstLine="0" w:firstLineChars="0"/>
              <w:rPr>
                <w:rFonts w:hint="eastAsia" w:ascii="Times New Roman" w:hAnsi="Times New Roman" w:eastAsia="宋体" w:cs="Times New Roman"/>
                <w:sz w:val="24"/>
                <w:szCs w:val="24"/>
                <w:lang w:eastAsia="zh-CN"/>
              </w:rPr>
            </w:pPr>
            <w:r>
              <w:rPr>
                <w:rFonts w:hint="eastAsia" w:eastAsia="宋体" w:cs="Times New Roman"/>
                <w:sz w:val="24"/>
                <w:szCs w:val="24"/>
                <w:lang w:val="en-US" w:eastAsia="zh-CN"/>
              </w:rPr>
              <w:t>柴油</w:t>
            </w:r>
          </w:p>
        </w:tc>
        <w:tc>
          <w:tcPr>
            <w:tcW w:w="2773" w:type="dxa"/>
            <w:noWrap w:val="0"/>
            <w:vAlign w:val="center"/>
          </w:tcPr>
          <w:p w14:paraId="3CEFE982">
            <w:pPr>
              <w:spacing w:line="360" w:lineRule="auto"/>
              <w:ind w:left="0" w:leftChars="0" w:firstLine="0" w:firstLineChars="0"/>
              <w:jc w:val="both"/>
              <w:rPr>
                <w:rFonts w:hint="default" w:ascii="Times New Roman" w:hAnsi="Times New Roman" w:eastAsia="宋体" w:cs="Times New Roman"/>
                <w:sz w:val="24"/>
                <w:szCs w:val="24"/>
              </w:rPr>
            </w:pPr>
            <w:r>
              <w:rPr>
                <w:rFonts w:hint="eastAsia" w:ascii="Times New Roman" w:hAnsi="Times New Roman" w:cs="Times New Roman"/>
                <w:color w:val="000000"/>
                <w:sz w:val="24"/>
                <w:szCs w:val="24"/>
                <w:lang w:val="en-US" w:eastAsia="zh-CN"/>
              </w:rPr>
              <w:t>20.20×10</w:t>
            </w:r>
            <w:r>
              <w:rPr>
                <w:rFonts w:hint="eastAsia" w:ascii="Times New Roman" w:hAnsi="Times New Roman" w:cs="Times New Roman"/>
                <w:color w:val="000000"/>
                <w:sz w:val="24"/>
                <w:szCs w:val="24"/>
                <w:vertAlign w:val="superscript"/>
                <w:lang w:val="en-US" w:eastAsia="zh-CN"/>
              </w:rPr>
              <w:t>-3</w:t>
            </w:r>
          </w:p>
        </w:tc>
        <w:tc>
          <w:tcPr>
            <w:tcW w:w="2205" w:type="dxa"/>
            <w:noWrap w:val="0"/>
            <w:vAlign w:val="center"/>
          </w:tcPr>
          <w:p w14:paraId="5A2D5271">
            <w:pPr>
              <w:spacing w:line="360" w:lineRule="auto"/>
              <w:ind w:left="0" w:leftChars="0" w:firstLine="0" w:firstLineChars="0"/>
              <w:jc w:val="both"/>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9</w:t>
            </w:r>
            <w:r>
              <w:rPr>
                <w:rFonts w:hint="eastAsia" w:ascii="Times New Roman" w:hAnsi="Times New Roman" w:eastAsia="宋体" w:cs="Times New Roman"/>
                <w:sz w:val="24"/>
                <w:szCs w:val="24"/>
                <w:lang w:val="en-US" w:eastAsia="zh-CN"/>
              </w:rPr>
              <w:t>8</w:t>
            </w:r>
          </w:p>
        </w:tc>
      </w:tr>
      <w:tr w14:paraId="0D7AA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9" w:type="dxa"/>
            <w:vMerge w:val="restart"/>
            <w:noWrap w:val="0"/>
            <w:vAlign w:val="center"/>
          </w:tcPr>
          <w:p w14:paraId="36492E08">
            <w:pPr>
              <w:spacing w:line="360" w:lineRule="auto"/>
              <w:ind w:left="0" w:leftChars="0" w:firstLine="0"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电力、热力</w:t>
            </w:r>
          </w:p>
        </w:tc>
        <w:tc>
          <w:tcPr>
            <w:tcW w:w="1659" w:type="dxa"/>
            <w:noWrap w:val="0"/>
            <w:vAlign w:val="center"/>
          </w:tcPr>
          <w:p w14:paraId="38929244">
            <w:pPr>
              <w:spacing w:line="360" w:lineRule="auto"/>
              <w:ind w:left="0" w:leftChars="0" w:firstLine="0"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参数名称</w:t>
            </w:r>
          </w:p>
        </w:tc>
        <w:tc>
          <w:tcPr>
            <w:tcW w:w="2773" w:type="dxa"/>
            <w:noWrap w:val="0"/>
            <w:vAlign w:val="center"/>
          </w:tcPr>
          <w:p w14:paraId="649CC8F8">
            <w:pPr>
              <w:spacing w:line="36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数据</w:t>
            </w:r>
          </w:p>
        </w:tc>
        <w:tc>
          <w:tcPr>
            <w:tcW w:w="2205" w:type="dxa"/>
            <w:noWrap w:val="0"/>
            <w:vAlign w:val="center"/>
          </w:tcPr>
          <w:p w14:paraId="6BC97A97">
            <w:pPr>
              <w:spacing w:line="36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单位</w:t>
            </w:r>
          </w:p>
        </w:tc>
      </w:tr>
      <w:tr w14:paraId="5560D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9" w:type="dxa"/>
            <w:vMerge w:val="continue"/>
            <w:noWrap w:val="0"/>
            <w:vAlign w:val="center"/>
          </w:tcPr>
          <w:p w14:paraId="4DDDFFB5">
            <w:pPr>
              <w:spacing w:line="360" w:lineRule="auto"/>
              <w:rPr>
                <w:rFonts w:hint="default" w:ascii="Times New Roman" w:hAnsi="Times New Roman" w:eastAsia="宋体" w:cs="Times New Roman"/>
                <w:sz w:val="24"/>
                <w:szCs w:val="24"/>
              </w:rPr>
            </w:pPr>
          </w:p>
        </w:tc>
        <w:tc>
          <w:tcPr>
            <w:tcW w:w="1659" w:type="dxa"/>
            <w:noWrap w:val="0"/>
            <w:vAlign w:val="center"/>
          </w:tcPr>
          <w:p w14:paraId="568DDA32">
            <w:pPr>
              <w:spacing w:line="360" w:lineRule="auto"/>
              <w:ind w:left="0" w:leftChars="0" w:firstLine="0"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购入的电力</w:t>
            </w:r>
          </w:p>
        </w:tc>
        <w:tc>
          <w:tcPr>
            <w:tcW w:w="2773" w:type="dxa"/>
            <w:noWrap w:val="0"/>
            <w:vAlign w:val="center"/>
          </w:tcPr>
          <w:p w14:paraId="26C20354">
            <w:pPr>
              <w:spacing w:line="360" w:lineRule="auto"/>
              <w:ind w:left="0" w:leftChars="0" w:firstLine="0" w:firstLineChars="0"/>
              <w:jc w:val="both"/>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0.</w:t>
            </w:r>
            <w:r>
              <w:rPr>
                <w:rFonts w:hint="eastAsia" w:ascii="Times New Roman" w:hAnsi="Times New Roman" w:eastAsia="宋体" w:cs="Times New Roman"/>
                <w:sz w:val="24"/>
                <w:szCs w:val="24"/>
                <w:lang w:val="en-US" w:eastAsia="zh-CN"/>
              </w:rPr>
              <w:t>6782</w:t>
            </w:r>
          </w:p>
        </w:tc>
        <w:tc>
          <w:tcPr>
            <w:tcW w:w="2205" w:type="dxa"/>
            <w:noWrap w:val="0"/>
            <w:vAlign w:val="center"/>
          </w:tcPr>
          <w:p w14:paraId="08622812">
            <w:pPr>
              <w:spacing w:line="36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tCO</w:t>
            </w:r>
            <w:r>
              <w:rPr>
                <w:rFonts w:hint="default" w:ascii="Times New Roman" w:hAnsi="Times New Roman" w:eastAsia="宋体" w:cs="Times New Roman"/>
                <w:sz w:val="24"/>
                <w:szCs w:val="24"/>
                <w:vertAlign w:val="subscript"/>
              </w:rPr>
              <w:t>2</w:t>
            </w:r>
            <w:r>
              <w:rPr>
                <w:rFonts w:hint="default" w:ascii="Times New Roman" w:hAnsi="Times New Roman" w:eastAsia="宋体" w:cs="Times New Roman"/>
                <w:sz w:val="24"/>
                <w:szCs w:val="24"/>
              </w:rPr>
              <w:t>/MWh</w:t>
            </w:r>
          </w:p>
        </w:tc>
      </w:tr>
      <w:tr w14:paraId="3E3A1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9" w:type="dxa"/>
            <w:vMerge w:val="continue"/>
            <w:noWrap w:val="0"/>
            <w:vAlign w:val="center"/>
          </w:tcPr>
          <w:p w14:paraId="12013CC2">
            <w:pPr>
              <w:spacing w:line="360" w:lineRule="auto"/>
              <w:rPr>
                <w:rFonts w:hint="default" w:ascii="Times New Roman" w:hAnsi="Times New Roman" w:eastAsia="宋体" w:cs="Times New Roman"/>
                <w:sz w:val="24"/>
                <w:szCs w:val="24"/>
              </w:rPr>
            </w:pPr>
          </w:p>
        </w:tc>
        <w:tc>
          <w:tcPr>
            <w:tcW w:w="1659" w:type="dxa"/>
            <w:noWrap w:val="0"/>
            <w:vAlign w:val="center"/>
          </w:tcPr>
          <w:p w14:paraId="31BE7EBB">
            <w:pPr>
              <w:spacing w:line="360" w:lineRule="auto"/>
              <w:ind w:left="0" w:leftChars="0" w:firstLine="0"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购入的热力</w:t>
            </w:r>
          </w:p>
        </w:tc>
        <w:tc>
          <w:tcPr>
            <w:tcW w:w="2773" w:type="dxa"/>
            <w:noWrap w:val="0"/>
            <w:vAlign w:val="center"/>
          </w:tcPr>
          <w:p w14:paraId="10E5EC2E">
            <w:pPr>
              <w:spacing w:line="36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w:t>
            </w:r>
          </w:p>
        </w:tc>
        <w:tc>
          <w:tcPr>
            <w:tcW w:w="2205" w:type="dxa"/>
            <w:noWrap w:val="0"/>
            <w:vAlign w:val="center"/>
          </w:tcPr>
          <w:p w14:paraId="732926A6">
            <w:pPr>
              <w:spacing w:line="36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tCO</w:t>
            </w:r>
            <w:r>
              <w:rPr>
                <w:rFonts w:hint="default" w:ascii="Times New Roman" w:hAnsi="Times New Roman" w:eastAsia="宋体" w:cs="Times New Roman"/>
                <w:sz w:val="24"/>
                <w:szCs w:val="24"/>
                <w:vertAlign w:val="subscript"/>
              </w:rPr>
              <w:t>2</w:t>
            </w:r>
            <w:r>
              <w:rPr>
                <w:rFonts w:hint="default" w:ascii="Times New Roman" w:hAnsi="Times New Roman" w:eastAsia="宋体" w:cs="Times New Roman"/>
                <w:sz w:val="24"/>
                <w:szCs w:val="24"/>
              </w:rPr>
              <w:t>/GJ</w:t>
            </w:r>
          </w:p>
        </w:tc>
      </w:tr>
    </w:tbl>
    <w:p w14:paraId="2A2F8D9E">
      <w:pPr>
        <w:pStyle w:val="2"/>
        <w:rPr>
          <w:rFonts w:hint="default"/>
        </w:rPr>
      </w:pPr>
    </w:p>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B866C">
    <w:pPr>
      <w:pStyle w:val="7"/>
      <w:jc w:val="center"/>
    </w:pPr>
  </w:p>
  <w:p w14:paraId="4CB97158">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0BEFA">
    <w:pPr>
      <w:pStyle w:val="7"/>
      <w:jc w:val="center"/>
    </w:pPr>
    <w:r>
      <w:fldChar w:fldCharType="begin"/>
    </w:r>
    <w:r>
      <w:instrText xml:space="preserve">PAGE   \* MERGEFORMAT</w:instrText>
    </w:r>
    <w:r>
      <w:fldChar w:fldCharType="separate"/>
    </w:r>
    <w:r>
      <w:rPr>
        <w:lang w:val="zh-CN"/>
      </w:rPr>
      <w:t>20</w:t>
    </w:r>
    <w:r>
      <w:rPr>
        <w:lang w:val="zh-CN"/>
      </w:rPr>
      <w:fldChar w:fldCharType="end"/>
    </w:r>
  </w:p>
  <w:p w14:paraId="18F52519">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640"/>
      </w:pPr>
      <w:r>
        <w:separator/>
      </w:r>
    </w:p>
  </w:footnote>
  <w:footnote w:type="continuationSeparator" w:id="1">
    <w:p>
      <w:pPr>
        <w:spacing w:line="36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733FF">
    <w:pPr>
      <w:pStyle w:val="8"/>
    </w:pPr>
    <w:r>
      <w:rPr>
        <w:rFonts w:hint="eastAsia"/>
      </w:rPr>
      <w:t>目 录</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E3466C">
    <w:pPr>
      <w:pStyle w:val="8"/>
      <w:rPr>
        <w:rFonts w:ascii="宋体" w:hAnsi="宋体" w:eastAsia="宋体"/>
      </w:rPr>
    </w:pPr>
    <w:r>
      <w:rPr>
        <w:rFonts w:hint="eastAsia" w:ascii="宋体" w:hAnsi="宋体" w:eastAsia="宋体"/>
        <w:lang w:eastAsia="zh-CN"/>
      </w:rPr>
      <w:t>安徽汉马发动机有限公司2024年</w:t>
    </w:r>
    <w:r>
      <w:rPr>
        <w:rFonts w:hint="eastAsia" w:ascii="宋体" w:hAnsi="宋体" w:eastAsia="宋体"/>
      </w:rPr>
      <w:t>温室气体排放报告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yMGQzODBmMTgzODgyN2QyMGZjMjI4MTBiOWMxYTcifQ=="/>
  </w:docVars>
  <w:rsids>
    <w:rsidRoot w:val="00172A27"/>
    <w:rsid w:val="0000060F"/>
    <w:rsid w:val="00030294"/>
    <w:rsid w:val="000315D6"/>
    <w:rsid w:val="00032A0A"/>
    <w:rsid w:val="000351A8"/>
    <w:rsid w:val="00036EAF"/>
    <w:rsid w:val="00042CAE"/>
    <w:rsid w:val="00055927"/>
    <w:rsid w:val="00056799"/>
    <w:rsid w:val="00061994"/>
    <w:rsid w:val="0007164D"/>
    <w:rsid w:val="00076E94"/>
    <w:rsid w:val="0008091F"/>
    <w:rsid w:val="000850E0"/>
    <w:rsid w:val="000878A7"/>
    <w:rsid w:val="00091575"/>
    <w:rsid w:val="00091E26"/>
    <w:rsid w:val="00094EF4"/>
    <w:rsid w:val="000954C0"/>
    <w:rsid w:val="000C42DC"/>
    <w:rsid w:val="000D6A2C"/>
    <w:rsid w:val="000F7BA3"/>
    <w:rsid w:val="0010512A"/>
    <w:rsid w:val="00122DDB"/>
    <w:rsid w:val="001256D4"/>
    <w:rsid w:val="0013424B"/>
    <w:rsid w:val="001676B1"/>
    <w:rsid w:val="00173EDF"/>
    <w:rsid w:val="001821B9"/>
    <w:rsid w:val="00184E05"/>
    <w:rsid w:val="0019348B"/>
    <w:rsid w:val="001A1447"/>
    <w:rsid w:val="001B18B0"/>
    <w:rsid w:val="001B632D"/>
    <w:rsid w:val="001C07E0"/>
    <w:rsid w:val="001C3612"/>
    <w:rsid w:val="001E7760"/>
    <w:rsid w:val="001E788D"/>
    <w:rsid w:val="0020177D"/>
    <w:rsid w:val="00211CD8"/>
    <w:rsid w:val="00221952"/>
    <w:rsid w:val="00224ABC"/>
    <w:rsid w:val="00232EBD"/>
    <w:rsid w:val="002359BB"/>
    <w:rsid w:val="002374B6"/>
    <w:rsid w:val="00246883"/>
    <w:rsid w:val="002546C3"/>
    <w:rsid w:val="002571FF"/>
    <w:rsid w:val="00264F14"/>
    <w:rsid w:val="00282F91"/>
    <w:rsid w:val="002847C6"/>
    <w:rsid w:val="002872A4"/>
    <w:rsid w:val="00294511"/>
    <w:rsid w:val="00294A22"/>
    <w:rsid w:val="002979E5"/>
    <w:rsid w:val="002A015E"/>
    <w:rsid w:val="002A33C7"/>
    <w:rsid w:val="002B35AE"/>
    <w:rsid w:val="002B5F96"/>
    <w:rsid w:val="002C713C"/>
    <w:rsid w:val="002D23B3"/>
    <w:rsid w:val="002E07F0"/>
    <w:rsid w:val="002F39AB"/>
    <w:rsid w:val="00302E1A"/>
    <w:rsid w:val="00305526"/>
    <w:rsid w:val="00305A93"/>
    <w:rsid w:val="00306006"/>
    <w:rsid w:val="00307D39"/>
    <w:rsid w:val="00321787"/>
    <w:rsid w:val="00321C64"/>
    <w:rsid w:val="0032533E"/>
    <w:rsid w:val="003260C2"/>
    <w:rsid w:val="0032645D"/>
    <w:rsid w:val="003278DD"/>
    <w:rsid w:val="00333665"/>
    <w:rsid w:val="00342219"/>
    <w:rsid w:val="00352DB5"/>
    <w:rsid w:val="00360934"/>
    <w:rsid w:val="00370710"/>
    <w:rsid w:val="003976DA"/>
    <w:rsid w:val="003A518C"/>
    <w:rsid w:val="003A7CF4"/>
    <w:rsid w:val="003B588A"/>
    <w:rsid w:val="003B679D"/>
    <w:rsid w:val="003D0DDF"/>
    <w:rsid w:val="003D7733"/>
    <w:rsid w:val="003E6116"/>
    <w:rsid w:val="004050FA"/>
    <w:rsid w:val="0040769A"/>
    <w:rsid w:val="0041237C"/>
    <w:rsid w:val="00412FD9"/>
    <w:rsid w:val="004152EF"/>
    <w:rsid w:val="00420E98"/>
    <w:rsid w:val="00427871"/>
    <w:rsid w:val="00430EE4"/>
    <w:rsid w:val="004330AE"/>
    <w:rsid w:val="004510B2"/>
    <w:rsid w:val="00471946"/>
    <w:rsid w:val="00471CAD"/>
    <w:rsid w:val="0047228D"/>
    <w:rsid w:val="004758B5"/>
    <w:rsid w:val="0049183C"/>
    <w:rsid w:val="00494CFE"/>
    <w:rsid w:val="0049754C"/>
    <w:rsid w:val="004A2E6E"/>
    <w:rsid w:val="004C20BC"/>
    <w:rsid w:val="004C4475"/>
    <w:rsid w:val="004D05E1"/>
    <w:rsid w:val="004D1550"/>
    <w:rsid w:val="004D4A1B"/>
    <w:rsid w:val="004E24D5"/>
    <w:rsid w:val="00506C08"/>
    <w:rsid w:val="0051361D"/>
    <w:rsid w:val="00514321"/>
    <w:rsid w:val="005154D5"/>
    <w:rsid w:val="005307B7"/>
    <w:rsid w:val="005313F8"/>
    <w:rsid w:val="00532C14"/>
    <w:rsid w:val="00533399"/>
    <w:rsid w:val="0054780B"/>
    <w:rsid w:val="00550D07"/>
    <w:rsid w:val="00552BA0"/>
    <w:rsid w:val="00557FFB"/>
    <w:rsid w:val="00571B55"/>
    <w:rsid w:val="0057512C"/>
    <w:rsid w:val="00582E09"/>
    <w:rsid w:val="00586A6E"/>
    <w:rsid w:val="00586F5C"/>
    <w:rsid w:val="005879E8"/>
    <w:rsid w:val="00587BFE"/>
    <w:rsid w:val="005954C5"/>
    <w:rsid w:val="005A7E37"/>
    <w:rsid w:val="005B6AB1"/>
    <w:rsid w:val="005C36DC"/>
    <w:rsid w:val="005C6431"/>
    <w:rsid w:val="005D0D07"/>
    <w:rsid w:val="005D74DC"/>
    <w:rsid w:val="005F6DD1"/>
    <w:rsid w:val="005F71DD"/>
    <w:rsid w:val="005F73EA"/>
    <w:rsid w:val="0060153C"/>
    <w:rsid w:val="00604BA2"/>
    <w:rsid w:val="00611007"/>
    <w:rsid w:val="0061302C"/>
    <w:rsid w:val="00625FFE"/>
    <w:rsid w:val="00627B9E"/>
    <w:rsid w:val="00633D3C"/>
    <w:rsid w:val="00643847"/>
    <w:rsid w:val="0064389C"/>
    <w:rsid w:val="00654A7D"/>
    <w:rsid w:val="00666EBF"/>
    <w:rsid w:val="006737F5"/>
    <w:rsid w:val="00675623"/>
    <w:rsid w:val="00694FE6"/>
    <w:rsid w:val="0069633E"/>
    <w:rsid w:val="006A073F"/>
    <w:rsid w:val="006A4C9D"/>
    <w:rsid w:val="006B4F16"/>
    <w:rsid w:val="006C1522"/>
    <w:rsid w:val="006E4778"/>
    <w:rsid w:val="006E57F2"/>
    <w:rsid w:val="006F4F7B"/>
    <w:rsid w:val="00712129"/>
    <w:rsid w:val="00723247"/>
    <w:rsid w:val="00726CD0"/>
    <w:rsid w:val="0073128A"/>
    <w:rsid w:val="007650A9"/>
    <w:rsid w:val="0077195E"/>
    <w:rsid w:val="007755B8"/>
    <w:rsid w:val="00780A74"/>
    <w:rsid w:val="00782DC6"/>
    <w:rsid w:val="00785CA1"/>
    <w:rsid w:val="00787CEE"/>
    <w:rsid w:val="00793AEA"/>
    <w:rsid w:val="007B6574"/>
    <w:rsid w:val="007C2042"/>
    <w:rsid w:val="007E7A64"/>
    <w:rsid w:val="008014E5"/>
    <w:rsid w:val="00811C36"/>
    <w:rsid w:val="00820282"/>
    <w:rsid w:val="008205F8"/>
    <w:rsid w:val="008263B5"/>
    <w:rsid w:val="008277A4"/>
    <w:rsid w:val="008407E4"/>
    <w:rsid w:val="00852C97"/>
    <w:rsid w:val="008542E6"/>
    <w:rsid w:val="00862BDB"/>
    <w:rsid w:val="00866BFE"/>
    <w:rsid w:val="0088389C"/>
    <w:rsid w:val="008926D0"/>
    <w:rsid w:val="008927DA"/>
    <w:rsid w:val="008B6DBD"/>
    <w:rsid w:val="008B735F"/>
    <w:rsid w:val="008C3B38"/>
    <w:rsid w:val="008C6F4C"/>
    <w:rsid w:val="008E5C7F"/>
    <w:rsid w:val="009015C3"/>
    <w:rsid w:val="009117DF"/>
    <w:rsid w:val="0091239F"/>
    <w:rsid w:val="00923499"/>
    <w:rsid w:val="0093365F"/>
    <w:rsid w:val="009339A2"/>
    <w:rsid w:val="00934D18"/>
    <w:rsid w:val="00941691"/>
    <w:rsid w:val="00947962"/>
    <w:rsid w:val="0095451B"/>
    <w:rsid w:val="00954DA6"/>
    <w:rsid w:val="00955236"/>
    <w:rsid w:val="0095584D"/>
    <w:rsid w:val="009574A9"/>
    <w:rsid w:val="0097329E"/>
    <w:rsid w:val="00995B0E"/>
    <w:rsid w:val="009B79DD"/>
    <w:rsid w:val="009C5CFB"/>
    <w:rsid w:val="009D05A7"/>
    <w:rsid w:val="009D1F2A"/>
    <w:rsid w:val="009D5AA8"/>
    <w:rsid w:val="009F6D93"/>
    <w:rsid w:val="00A007B7"/>
    <w:rsid w:val="00A03332"/>
    <w:rsid w:val="00A0564A"/>
    <w:rsid w:val="00A06394"/>
    <w:rsid w:val="00A11A1C"/>
    <w:rsid w:val="00A11B41"/>
    <w:rsid w:val="00A328C8"/>
    <w:rsid w:val="00A3600A"/>
    <w:rsid w:val="00A43E7A"/>
    <w:rsid w:val="00A62105"/>
    <w:rsid w:val="00A62769"/>
    <w:rsid w:val="00A734B0"/>
    <w:rsid w:val="00A73997"/>
    <w:rsid w:val="00A8574C"/>
    <w:rsid w:val="00AA188B"/>
    <w:rsid w:val="00AA6698"/>
    <w:rsid w:val="00AB38D5"/>
    <w:rsid w:val="00AD42AD"/>
    <w:rsid w:val="00B02E16"/>
    <w:rsid w:val="00B03A1E"/>
    <w:rsid w:val="00B16295"/>
    <w:rsid w:val="00B207EF"/>
    <w:rsid w:val="00B24B7D"/>
    <w:rsid w:val="00B313A3"/>
    <w:rsid w:val="00B363E9"/>
    <w:rsid w:val="00B4321F"/>
    <w:rsid w:val="00B47F0B"/>
    <w:rsid w:val="00B50E92"/>
    <w:rsid w:val="00B5666A"/>
    <w:rsid w:val="00B610A3"/>
    <w:rsid w:val="00B669C9"/>
    <w:rsid w:val="00B66D91"/>
    <w:rsid w:val="00B679A4"/>
    <w:rsid w:val="00B7743E"/>
    <w:rsid w:val="00B81767"/>
    <w:rsid w:val="00B82220"/>
    <w:rsid w:val="00B90FD5"/>
    <w:rsid w:val="00BA13FC"/>
    <w:rsid w:val="00BB7B07"/>
    <w:rsid w:val="00BD35D2"/>
    <w:rsid w:val="00BD65A9"/>
    <w:rsid w:val="00BE6008"/>
    <w:rsid w:val="00C01800"/>
    <w:rsid w:val="00C02B5F"/>
    <w:rsid w:val="00C044F2"/>
    <w:rsid w:val="00C06E8C"/>
    <w:rsid w:val="00C13D9F"/>
    <w:rsid w:val="00C148CE"/>
    <w:rsid w:val="00C3143E"/>
    <w:rsid w:val="00C4090F"/>
    <w:rsid w:val="00C50436"/>
    <w:rsid w:val="00C50D24"/>
    <w:rsid w:val="00C551C4"/>
    <w:rsid w:val="00C777D2"/>
    <w:rsid w:val="00C877D1"/>
    <w:rsid w:val="00CA1215"/>
    <w:rsid w:val="00CA5071"/>
    <w:rsid w:val="00CA5BDB"/>
    <w:rsid w:val="00CB25EE"/>
    <w:rsid w:val="00CB53E4"/>
    <w:rsid w:val="00CD140A"/>
    <w:rsid w:val="00CD681D"/>
    <w:rsid w:val="00CE42BE"/>
    <w:rsid w:val="00CF1A34"/>
    <w:rsid w:val="00D0256F"/>
    <w:rsid w:val="00D04019"/>
    <w:rsid w:val="00D0602D"/>
    <w:rsid w:val="00D1174F"/>
    <w:rsid w:val="00D141BC"/>
    <w:rsid w:val="00D1763C"/>
    <w:rsid w:val="00D2617E"/>
    <w:rsid w:val="00D34CBA"/>
    <w:rsid w:val="00D36E0D"/>
    <w:rsid w:val="00D52CE1"/>
    <w:rsid w:val="00D726B1"/>
    <w:rsid w:val="00D7358C"/>
    <w:rsid w:val="00D837BF"/>
    <w:rsid w:val="00D90FFB"/>
    <w:rsid w:val="00D95553"/>
    <w:rsid w:val="00D96463"/>
    <w:rsid w:val="00DD75D8"/>
    <w:rsid w:val="00DE6868"/>
    <w:rsid w:val="00E038F8"/>
    <w:rsid w:val="00E2183F"/>
    <w:rsid w:val="00E31B31"/>
    <w:rsid w:val="00E55879"/>
    <w:rsid w:val="00E558ED"/>
    <w:rsid w:val="00E7113B"/>
    <w:rsid w:val="00E73B2A"/>
    <w:rsid w:val="00E93DC4"/>
    <w:rsid w:val="00EB14A1"/>
    <w:rsid w:val="00EB2BE2"/>
    <w:rsid w:val="00EC0E0C"/>
    <w:rsid w:val="00EC3E75"/>
    <w:rsid w:val="00EC5910"/>
    <w:rsid w:val="00ED6B59"/>
    <w:rsid w:val="00ED78FB"/>
    <w:rsid w:val="00EE7E24"/>
    <w:rsid w:val="00EF0CDE"/>
    <w:rsid w:val="00F005BE"/>
    <w:rsid w:val="00F13D0C"/>
    <w:rsid w:val="00F27A89"/>
    <w:rsid w:val="00F5089E"/>
    <w:rsid w:val="00F5209D"/>
    <w:rsid w:val="00F5591C"/>
    <w:rsid w:val="00F57F6E"/>
    <w:rsid w:val="00F70BE4"/>
    <w:rsid w:val="00F70F79"/>
    <w:rsid w:val="00F758D2"/>
    <w:rsid w:val="00F83239"/>
    <w:rsid w:val="00F9633F"/>
    <w:rsid w:val="00FB4A89"/>
    <w:rsid w:val="00FC2603"/>
    <w:rsid w:val="00FC793E"/>
    <w:rsid w:val="00FE4CCF"/>
    <w:rsid w:val="11FA2D26"/>
    <w:rsid w:val="17656C96"/>
    <w:rsid w:val="1F732DBB"/>
    <w:rsid w:val="301E7FBC"/>
    <w:rsid w:val="373B34E8"/>
    <w:rsid w:val="39630285"/>
    <w:rsid w:val="3A454CD0"/>
    <w:rsid w:val="3B330679"/>
    <w:rsid w:val="3B4F206F"/>
    <w:rsid w:val="42237EF0"/>
    <w:rsid w:val="48056A06"/>
    <w:rsid w:val="48632D91"/>
    <w:rsid w:val="495A3C34"/>
    <w:rsid w:val="4B6A2327"/>
    <w:rsid w:val="505E1402"/>
    <w:rsid w:val="52A01BF6"/>
    <w:rsid w:val="54A76A28"/>
    <w:rsid w:val="58A6002D"/>
    <w:rsid w:val="59C5394B"/>
    <w:rsid w:val="5AD96807"/>
    <w:rsid w:val="5DE5408C"/>
    <w:rsid w:val="5F100122"/>
    <w:rsid w:val="62912D72"/>
    <w:rsid w:val="69666807"/>
    <w:rsid w:val="6C694C23"/>
    <w:rsid w:val="70027824"/>
    <w:rsid w:val="75561137"/>
    <w:rsid w:val="75F44D1B"/>
    <w:rsid w:val="7689046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880" w:firstLineChars="200"/>
      <w:jc w:val="both"/>
    </w:pPr>
    <w:rPr>
      <w:rFonts w:ascii="Times New Roman" w:hAnsi="Times New Roman" w:eastAsia="仿宋_GB2312" w:cs="Times New Roman"/>
      <w:kern w:val="2"/>
      <w:sz w:val="32"/>
      <w:szCs w:val="22"/>
      <w:lang w:val="en-US" w:eastAsia="zh-CN" w:bidi="ar-SA"/>
    </w:rPr>
  </w:style>
  <w:style w:type="paragraph" w:styleId="4">
    <w:name w:val="heading 1"/>
    <w:basedOn w:val="1"/>
    <w:next w:val="1"/>
    <w:link w:val="16"/>
    <w:qFormat/>
    <w:uiPriority w:val="9"/>
    <w:pPr>
      <w:keepNext/>
      <w:keepLines/>
      <w:spacing w:before="280" w:after="280" w:line="579" w:lineRule="auto"/>
      <w:ind w:firstLine="0" w:firstLineChars="0"/>
      <w:outlineLvl w:val="0"/>
    </w:pPr>
    <w:rPr>
      <w:rFonts w:eastAsia="黑体"/>
      <w:b/>
      <w:bCs/>
      <w:kern w:val="44"/>
      <w:szCs w:val="44"/>
    </w:rPr>
  </w:style>
  <w:style w:type="paragraph" w:styleId="5">
    <w:name w:val="heading 2"/>
    <w:basedOn w:val="1"/>
    <w:next w:val="1"/>
    <w:link w:val="17"/>
    <w:unhideWhenUsed/>
    <w:qFormat/>
    <w:uiPriority w:val="9"/>
    <w:pPr>
      <w:keepNext/>
      <w:keepLines/>
      <w:spacing w:before="260" w:after="260" w:line="416" w:lineRule="auto"/>
      <w:ind w:firstLine="0" w:firstLineChars="0"/>
      <w:outlineLvl w:val="1"/>
    </w:pPr>
    <w:rPr>
      <w:b/>
      <w:bCs/>
      <w:szCs w:val="32"/>
    </w:rPr>
  </w:style>
  <w:style w:type="character" w:default="1" w:styleId="13">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widowControl w:val="0"/>
      <w:adjustRightInd/>
      <w:snapToGrid/>
      <w:jc w:val="left"/>
    </w:pPr>
    <w:rPr>
      <w:b/>
      <w:kern w:val="2"/>
      <w:sz w:val="28"/>
      <w:szCs w:val="24"/>
      <w:lang w:eastAsia="zh-CN" w:bidi="ar-SA"/>
    </w:rPr>
  </w:style>
  <w:style w:type="paragraph" w:styleId="3">
    <w:name w:val="Title"/>
    <w:basedOn w:val="1"/>
    <w:next w:val="1"/>
    <w:unhideWhenUsed/>
    <w:qFormat/>
    <w:uiPriority w:val="0"/>
    <w:pPr>
      <w:spacing w:beforeLines="0" w:afterLines="0"/>
      <w:jc w:val="center"/>
      <w:outlineLvl w:val="0"/>
    </w:pPr>
    <w:rPr>
      <w:rFonts w:hint="eastAsia" w:ascii="方正小标宋_GBK" w:hAnsi="方正小标宋_GBK" w:eastAsia="方正小标宋_GBK" w:cs="方正小标宋_GBK"/>
      <w:sz w:val="44"/>
      <w:szCs w:val="44"/>
    </w:rPr>
  </w:style>
  <w:style w:type="paragraph" w:styleId="6">
    <w:name w:val="Balloon Text"/>
    <w:basedOn w:val="1"/>
    <w:link w:val="18"/>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style>
  <w:style w:type="paragraph" w:styleId="10">
    <w:name w:val="toc 2"/>
    <w:basedOn w:val="1"/>
    <w:next w:val="1"/>
    <w:unhideWhenUsed/>
    <w:qFormat/>
    <w:uiPriority w:val="39"/>
    <w:pPr>
      <w:ind w:left="420" w:leftChars="200"/>
    </w:pPr>
  </w:style>
  <w:style w:type="table" w:styleId="12">
    <w:name w:val="Table Grid"/>
    <w:basedOn w:val="1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Hyperlink"/>
    <w:basedOn w:val="13"/>
    <w:unhideWhenUsed/>
    <w:qFormat/>
    <w:uiPriority w:val="99"/>
    <w:rPr>
      <w:color w:val="0563C1"/>
      <w:u w:val="single"/>
    </w:rPr>
  </w:style>
  <w:style w:type="character" w:customStyle="1" w:styleId="15">
    <w:name w:val="页脚 Char"/>
    <w:basedOn w:val="13"/>
    <w:link w:val="7"/>
    <w:qFormat/>
    <w:uiPriority w:val="99"/>
    <w:rPr>
      <w:sz w:val="18"/>
      <w:szCs w:val="18"/>
    </w:rPr>
  </w:style>
  <w:style w:type="character" w:customStyle="1" w:styleId="16">
    <w:name w:val="标题 1 Char"/>
    <w:basedOn w:val="13"/>
    <w:link w:val="4"/>
    <w:qFormat/>
    <w:uiPriority w:val="9"/>
    <w:rPr>
      <w:rFonts w:ascii="Times New Roman" w:hAnsi="Times New Roman" w:eastAsia="黑体"/>
      <w:b/>
      <w:bCs/>
      <w:kern w:val="44"/>
      <w:sz w:val="32"/>
      <w:szCs w:val="44"/>
    </w:rPr>
  </w:style>
  <w:style w:type="character" w:customStyle="1" w:styleId="17">
    <w:name w:val="标题 2 Char"/>
    <w:basedOn w:val="13"/>
    <w:link w:val="5"/>
    <w:qFormat/>
    <w:uiPriority w:val="9"/>
    <w:rPr>
      <w:rFonts w:ascii="Times New Roman" w:hAnsi="Times New Roman" w:eastAsia="仿宋_GB2312" w:cs="Times New Roman"/>
      <w:b/>
      <w:bCs/>
      <w:sz w:val="32"/>
      <w:szCs w:val="32"/>
    </w:rPr>
  </w:style>
  <w:style w:type="character" w:customStyle="1" w:styleId="18">
    <w:name w:val="批注框文本 Char"/>
    <w:basedOn w:val="13"/>
    <w:link w:val="6"/>
    <w:semiHidden/>
    <w:qFormat/>
    <w:uiPriority w:val="99"/>
    <w:rPr>
      <w:sz w:val="18"/>
      <w:szCs w:val="18"/>
    </w:rPr>
  </w:style>
  <w:style w:type="character" w:customStyle="1" w:styleId="19">
    <w:name w:val="页眉 Char"/>
    <w:basedOn w:val="13"/>
    <w:link w:val="8"/>
    <w:qFormat/>
    <w:uiPriority w:val="99"/>
    <w:rPr>
      <w:sz w:val="18"/>
      <w:szCs w:val="18"/>
    </w:rPr>
  </w:style>
  <w:style w:type="paragraph" w:styleId="20">
    <w:name w:val="List Paragraph"/>
    <w:basedOn w:val="1"/>
    <w:qFormat/>
    <w:uiPriority w:val="34"/>
    <w:pPr>
      <w:ind w:firstLine="420" w:firstLineChars="200"/>
    </w:pPr>
  </w:style>
  <w:style w:type="paragraph" w:customStyle="1" w:styleId="21">
    <w:name w:val="TOC Heading"/>
    <w:basedOn w:val="4"/>
    <w:next w:val="1"/>
    <w:unhideWhenUsed/>
    <w:qFormat/>
    <w:uiPriority w:val="39"/>
    <w:pPr>
      <w:widowControl/>
      <w:spacing w:before="240" w:after="0" w:line="259" w:lineRule="auto"/>
      <w:jc w:val="left"/>
      <w:outlineLvl w:val="9"/>
    </w:pPr>
    <w:rPr>
      <w:rFonts w:ascii="等线 Light" w:hAnsi="等线 Light" w:eastAsia="等线 Light" w:cs="Times New Roman"/>
      <w:b w:val="0"/>
      <w:bCs w:val="0"/>
      <w:color w:val="2F5496"/>
      <w:kern w:val="0"/>
      <w:sz w:val="32"/>
      <w:szCs w:val="32"/>
    </w:rPr>
  </w:style>
  <w:style w:type="paragraph" w:customStyle="1" w:styleId="22">
    <w:name w:val="Default"/>
    <w:basedOn w:val="23"/>
    <w:qFormat/>
    <w:uiPriority w:val="0"/>
    <w:pPr>
      <w:widowControl w:val="0"/>
      <w:autoSpaceDE w:val="0"/>
      <w:autoSpaceDN w:val="0"/>
      <w:adjustRightInd w:val="0"/>
      <w:snapToGrid w:val="0"/>
      <w:spacing w:line="240" w:lineRule="atLeast"/>
    </w:pPr>
    <w:rPr>
      <w:rFonts w:ascii="Times New Roman" w:hAnsi="Times New Roman" w:eastAsia="宋体" w:cs="宋体"/>
      <w:color w:val="000000"/>
      <w:kern w:val="0"/>
      <w:sz w:val="18"/>
      <w:szCs w:val="24"/>
      <w:lang w:val="en-US" w:eastAsia="zh-CN" w:bidi="ar-SA"/>
    </w:rPr>
  </w:style>
  <w:style w:type="paragraph" w:customStyle="1" w:styleId="23">
    <w:name w:val="纯文本1"/>
    <w:basedOn w:val="1"/>
    <w:unhideWhenUsed/>
    <w:qFormat/>
    <w:uiPriority w:val="0"/>
    <w:pPr>
      <w:adjustRightInd w:val="0"/>
      <w:spacing w:beforeLines="0" w:afterLines="0"/>
    </w:pPr>
    <w:rPr>
      <w:rFonts w:hint="default" w:ascii="宋体" w:hAnsi="Courier New" w:eastAsia="宋体"/>
      <w:sz w:val="21"/>
      <w:szCs w:val="20"/>
    </w:rPr>
  </w:style>
  <w:style w:type="paragraph" w:customStyle="1" w:styleId="24">
    <w:name w:val="表格左对齐"/>
    <w:qFormat/>
    <w:uiPriority w:val="0"/>
    <w:pPr>
      <w:spacing w:before="60" w:after="60" w:line="300" w:lineRule="auto"/>
      <w:jc w:val="both"/>
    </w:pPr>
    <w:rPr>
      <w:rFonts w:ascii="Times New Roman" w:hAnsi="Times New Roman" w:eastAsia="仿宋" w:cs="Times New Roman"/>
      <w:kern w:val="0"/>
      <w:sz w:val="24"/>
      <w:szCs w:val="24"/>
      <w:lang w:val="en-US" w:eastAsia="zh-CN" w:bidi="ar-SA"/>
    </w:rPr>
  </w:style>
  <w:style w:type="paragraph" w:customStyle="1" w:styleId="25">
    <w:name w:val="Table Paragraph"/>
    <w:basedOn w:val="1"/>
    <w:qFormat/>
    <w:uiPriority w:val="1"/>
    <w:rPr>
      <w:rFonts w:ascii="仿宋" w:hAnsi="仿宋" w:eastAsia="仿宋" w:cs="仿宋"/>
    </w:rPr>
  </w:style>
  <w:style w:type="paragraph" w:customStyle="1" w:styleId="26">
    <w:name w:val="图片标题"/>
    <w:basedOn w:val="27"/>
    <w:qFormat/>
    <w:uiPriority w:val="0"/>
    <w:pPr>
      <w:outlineLvl w:val="6"/>
    </w:pPr>
    <w:rPr>
      <w:rFonts w:ascii="Times New Roman" w:hAnsi="Times New Roman" w:eastAsia="仿宋"/>
    </w:rPr>
  </w:style>
  <w:style w:type="paragraph" w:customStyle="1" w:styleId="27">
    <w:name w:val="表格标题"/>
    <w:basedOn w:val="1"/>
    <w:qFormat/>
    <w:uiPriority w:val="0"/>
    <w:pPr>
      <w:widowControl w:val="0"/>
      <w:spacing w:line="240" w:lineRule="auto"/>
      <w:ind w:firstLine="0" w:firstLineChars="0"/>
      <w:jc w:val="center"/>
      <w:outlineLvl w:val="6"/>
    </w:pPr>
    <w:rPr>
      <w:b/>
      <w:color w:val="auto"/>
      <w:kern w:val="2"/>
      <w:sz w:val="28"/>
      <w:szCs w:val="28"/>
      <w:lang w:eastAsia="zh-CN" w:bidi="ar-SA"/>
    </w:rPr>
  </w:style>
  <w:style w:type="character" w:customStyle="1" w:styleId="28">
    <w:name w:val="font11"/>
    <w:basedOn w:val="13"/>
    <w:qFormat/>
    <w:uiPriority w:val="0"/>
    <w:rPr>
      <w:rFonts w:hint="eastAsia" w:ascii="宋体" w:hAnsi="宋体" w:eastAsia="宋体" w:cs="宋体"/>
      <w:color w:val="000000"/>
      <w:sz w:val="24"/>
      <w:szCs w:val="24"/>
      <w:u w:val="none"/>
    </w:rPr>
  </w:style>
  <w:style w:type="character" w:customStyle="1" w:styleId="29">
    <w:name w:val="font41"/>
    <w:basedOn w:val="13"/>
    <w:qFormat/>
    <w:uiPriority w:val="0"/>
    <w:rPr>
      <w:rFonts w:hint="default" w:ascii="Times New Roman" w:hAnsi="Times New Roman" w:cs="Times New Roman"/>
      <w:color w:val="000000"/>
      <w:sz w:val="24"/>
      <w:szCs w:val="24"/>
      <w:u w:val="none"/>
    </w:rPr>
  </w:style>
  <w:style w:type="character" w:customStyle="1" w:styleId="30">
    <w:name w:val="font51"/>
    <w:basedOn w:val="13"/>
    <w:qFormat/>
    <w:uiPriority w:val="0"/>
    <w:rPr>
      <w:rFonts w:hint="default" w:ascii="Times New Roman" w:hAnsi="Times New Roman" w:cs="Times New Roman"/>
      <w:color w:val="000000"/>
      <w:sz w:val="24"/>
      <w:szCs w:val="24"/>
      <w:u w:val="none"/>
      <w:vertAlign w:val="subscript"/>
    </w:rPr>
  </w:style>
  <w:style w:type="character" w:customStyle="1" w:styleId="31">
    <w:name w:val="font21"/>
    <w:basedOn w:val="13"/>
    <w:qFormat/>
    <w:uiPriority w:val="0"/>
    <w:rPr>
      <w:rFonts w:hint="default" w:ascii="Times New Roman" w:hAnsi="Times New Roman" w:cs="Times New Roman"/>
      <w:color w:val="000000"/>
      <w:sz w:val="24"/>
      <w:szCs w:val="24"/>
      <w:u w:val="none"/>
    </w:rPr>
  </w:style>
  <w:style w:type="character" w:customStyle="1" w:styleId="32">
    <w:name w:val="font01"/>
    <w:basedOn w:val="13"/>
    <w:qFormat/>
    <w:uiPriority w:val="0"/>
    <w:rPr>
      <w:rFonts w:hint="eastAsia" w:ascii="宋体" w:hAnsi="宋体" w:eastAsia="宋体" w:cs="宋体"/>
      <w:color w:val="000000"/>
      <w:sz w:val="24"/>
      <w:szCs w:val="24"/>
      <w:u w:val="none"/>
    </w:rPr>
  </w:style>
  <w:style w:type="character" w:customStyle="1" w:styleId="33">
    <w:name w:val="font31"/>
    <w:basedOn w:val="13"/>
    <w:qFormat/>
    <w:uiPriority w:val="0"/>
    <w:rPr>
      <w:rFonts w:hint="default" w:ascii="Times New Roman" w:hAnsi="Times New Roman" w:cs="Times New Roman"/>
      <w:color w:val="000000"/>
      <w:sz w:val="24"/>
      <w:szCs w:val="24"/>
      <w:u w:val="none"/>
      <w:vertAlign w:val="subscript"/>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image" Target="media/image8.emf"/><Relationship Id="rId17" Type="http://schemas.openxmlformats.org/officeDocument/2006/relationships/oleObject" Target="embeddings/oleObject1.bin"/><Relationship Id="rId16" Type="http://schemas.openxmlformats.org/officeDocument/2006/relationships/image" Target="media/image7.jpe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lemon</Company>
  <Pages>15</Pages>
  <Words>3272</Words>
  <Characters>3689</Characters>
  <Lines>50</Lines>
  <Paragraphs>14</Paragraphs>
  <TotalTime>3</TotalTime>
  <ScaleCrop>false</ScaleCrop>
  <LinksUpToDate>false</LinksUpToDate>
  <CharactersWithSpaces>3769</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2021-07-13T09:15:00Z</dcterms:created>
  <dc:creator>Lu Jinli</dc:creator>
  <cp:lastModifiedBy>枫雨灬少关丶</cp:lastModifiedBy>
  <cp:lastPrinted>2021-08-04T07:29:00Z</cp:lastPrinted>
  <dcterms:modified xsi:type="dcterms:W3CDTF">2025-06-27T01:54:00Z</dcterms:modified>
  <cp:revision>312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F8D85CD8D3054CDF92AB66468D34796C_13</vt:lpwstr>
  </property>
  <property fmtid="{D5CDD505-2E9C-101B-9397-08002B2CF9AE}" pid="4" name="KSOTemplateDocerSaveRecord">
    <vt:lpwstr>eyJoZGlkIjoiMTExZmJiYWRkNGFkMjU4ZDM4MzNmNTY2Mzg5YjI0ZjEiLCJ1c2VySWQiOiIyMzUxMTY5ODUifQ==</vt:lpwstr>
  </property>
</Properties>
</file>