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C6DCC">
      <w:pPr>
        <w:jc w:val="center"/>
        <w:rPr>
          <w:rFonts w:hint="eastAsia" w:ascii="Times New Roman" w:hAnsi="Times New Roman" w:eastAsia="宋体" w:cs="Times New Roman"/>
          <w:sz w:val="44"/>
          <w:szCs w:val="44"/>
          <w:lang w:eastAsia="zh-CN"/>
        </w:rPr>
      </w:pPr>
    </w:p>
    <w:p w14:paraId="2AF38BAE">
      <w:pPr>
        <w:jc w:val="center"/>
        <w:rPr>
          <w:rFonts w:ascii="Times New Roman" w:hAnsi="Times New Roman" w:eastAsia="宋体" w:cs="Times New Roman"/>
          <w:sz w:val="44"/>
          <w:szCs w:val="44"/>
        </w:rPr>
      </w:pPr>
    </w:p>
    <w:p w14:paraId="005C0F32">
      <w:pPr>
        <w:jc w:val="center"/>
        <w:rPr>
          <w:rFonts w:ascii="Times New Roman" w:hAnsi="Times New Roman" w:eastAsia="宋体" w:cs="Times New Roman"/>
          <w:sz w:val="44"/>
          <w:szCs w:val="44"/>
        </w:rPr>
      </w:pPr>
    </w:p>
    <w:p w14:paraId="0069170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1" w:after="0" w:afterAutospacing="1" w:line="240" w:lineRule="auto"/>
        <w:ind w:left="0" w:leftChars="0" w:firstLine="0" w:firstLineChars="0"/>
        <w:jc w:val="center"/>
        <w:textAlignment w:val="auto"/>
        <w:outlineLvl w:val="0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年度温室气体排放报告</w:t>
      </w:r>
    </w:p>
    <w:p w14:paraId="349A16D0">
      <w:pPr>
        <w:jc w:val="center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马鞍山恒精新能源科技有限公司</w:t>
      </w:r>
    </w:p>
    <w:p w14:paraId="61A68E6B">
      <w:pPr>
        <w:jc w:val="center"/>
        <w:rPr>
          <w:rFonts w:ascii="Times New Roman" w:hAnsi="Times New Roman" w:eastAsia="宋体" w:cs="Times New Roman"/>
          <w:sz w:val="44"/>
          <w:szCs w:val="44"/>
        </w:rPr>
      </w:pPr>
    </w:p>
    <w:p w14:paraId="32C43B27">
      <w:pPr>
        <w:jc w:val="center"/>
        <w:rPr>
          <w:rFonts w:ascii="Times New Roman" w:hAnsi="Times New Roman" w:eastAsia="宋体" w:cs="Times New Roman"/>
        </w:rPr>
      </w:pPr>
    </w:p>
    <w:p w14:paraId="01BE1C77">
      <w:pPr>
        <w:jc w:val="center"/>
        <w:rPr>
          <w:rFonts w:ascii="Times New Roman" w:hAnsi="Times New Roman" w:eastAsia="宋体" w:cs="Times New Roman"/>
        </w:rPr>
      </w:pPr>
    </w:p>
    <w:p w14:paraId="5DC93AB1">
      <w:pPr>
        <w:jc w:val="center"/>
        <w:rPr>
          <w:rFonts w:ascii="Times New Roman" w:hAnsi="Times New Roman" w:eastAsia="宋体" w:cs="Times New Roman"/>
        </w:rPr>
      </w:pPr>
    </w:p>
    <w:p w14:paraId="058640B8">
      <w:pPr>
        <w:jc w:val="center"/>
        <w:rPr>
          <w:rFonts w:ascii="Times New Roman" w:hAnsi="Times New Roman" w:eastAsia="宋体" w:cs="Times New Roman"/>
        </w:rPr>
      </w:pPr>
    </w:p>
    <w:p w14:paraId="2C39D619">
      <w:pPr>
        <w:jc w:val="center"/>
        <w:rPr>
          <w:rFonts w:ascii="Times New Roman" w:hAnsi="Times New Roman" w:eastAsia="宋体" w:cs="Times New Roman"/>
        </w:rPr>
      </w:pPr>
    </w:p>
    <w:p w14:paraId="114468E9">
      <w:pPr>
        <w:jc w:val="center"/>
        <w:rPr>
          <w:rFonts w:ascii="Times New Roman" w:hAnsi="Times New Roman" w:eastAsia="宋体" w:cs="Times New Roman"/>
        </w:rPr>
      </w:pPr>
    </w:p>
    <w:p w14:paraId="59284FE3">
      <w:pPr>
        <w:jc w:val="center"/>
        <w:rPr>
          <w:rFonts w:ascii="Times New Roman" w:hAnsi="Times New Roman" w:eastAsia="宋体" w:cs="Times New Roman"/>
        </w:rPr>
      </w:pPr>
    </w:p>
    <w:p w14:paraId="73541563">
      <w:pPr>
        <w:jc w:val="center"/>
        <w:rPr>
          <w:rFonts w:ascii="Times New Roman" w:hAnsi="Times New Roman" w:eastAsia="宋体" w:cs="Times New Roman"/>
        </w:rPr>
      </w:pPr>
    </w:p>
    <w:p w14:paraId="6B1E0F02">
      <w:pPr>
        <w:jc w:val="center"/>
        <w:rPr>
          <w:rFonts w:ascii="Times New Roman" w:hAnsi="Times New Roman" w:eastAsia="宋体" w:cs="Times New Roman"/>
        </w:rPr>
      </w:pPr>
    </w:p>
    <w:p w14:paraId="1E2137C9">
      <w:pPr>
        <w:jc w:val="center"/>
        <w:rPr>
          <w:rFonts w:ascii="Times New Roman" w:hAnsi="Times New Roman" w:eastAsia="宋体" w:cs="Times New Roman"/>
        </w:rPr>
      </w:pPr>
    </w:p>
    <w:p w14:paraId="49769799">
      <w:pPr>
        <w:jc w:val="center"/>
        <w:rPr>
          <w:rFonts w:ascii="Times New Roman" w:hAnsi="Times New Roman" w:eastAsia="宋体" w:cs="Times New Roman"/>
        </w:rPr>
      </w:pPr>
    </w:p>
    <w:p w14:paraId="322B5EA2">
      <w:pPr>
        <w:jc w:val="center"/>
        <w:rPr>
          <w:rFonts w:ascii="Times New Roman" w:hAnsi="Times New Roman" w:eastAsia="宋体" w:cs="Times New Roman"/>
        </w:rPr>
      </w:pPr>
    </w:p>
    <w:p w14:paraId="43DA719E">
      <w:pPr>
        <w:jc w:val="center"/>
        <w:rPr>
          <w:rFonts w:ascii="Times New Roman" w:hAnsi="Times New Roman" w:eastAsia="宋体" w:cs="Times New Roman"/>
        </w:rPr>
      </w:pPr>
    </w:p>
    <w:p w14:paraId="0A12C4E4">
      <w:pPr>
        <w:jc w:val="center"/>
        <w:rPr>
          <w:rFonts w:ascii="Times New Roman" w:hAnsi="Times New Roman" w:eastAsia="宋体" w:cs="Times New Roman"/>
        </w:rPr>
      </w:pPr>
    </w:p>
    <w:p w14:paraId="08521E54">
      <w:pPr>
        <w:jc w:val="center"/>
        <w:rPr>
          <w:rFonts w:ascii="Times New Roman" w:hAnsi="Times New Roman" w:eastAsia="宋体" w:cs="Times New Roman"/>
        </w:rPr>
      </w:pPr>
    </w:p>
    <w:p w14:paraId="282F78F9">
      <w:pPr>
        <w:jc w:val="center"/>
        <w:rPr>
          <w:rFonts w:ascii="Times New Roman" w:hAnsi="Times New Roman" w:eastAsia="宋体" w:cs="Times New Roman"/>
        </w:rPr>
      </w:pPr>
    </w:p>
    <w:p w14:paraId="0E51FEAA">
      <w:pPr>
        <w:jc w:val="center"/>
        <w:rPr>
          <w:rFonts w:ascii="Times New Roman" w:hAnsi="Times New Roman" w:eastAsia="宋体" w:cs="Times New Roman"/>
        </w:rPr>
      </w:pPr>
    </w:p>
    <w:p w14:paraId="1E0C1180">
      <w:pPr>
        <w:jc w:val="center"/>
        <w:rPr>
          <w:rFonts w:ascii="Times New Roman" w:hAnsi="Times New Roman" w:eastAsia="宋体" w:cs="Times New Roman"/>
        </w:rPr>
      </w:pPr>
    </w:p>
    <w:p w14:paraId="550AFFD1">
      <w:pPr>
        <w:spacing w:line="360" w:lineRule="auto"/>
        <w:ind w:firstLine="964" w:firstLineChars="400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 w14:paraId="759DA1EB">
      <w:pPr>
        <w:spacing w:line="360" w:lineRule="auto"/>
        <w:ind w:firstLine="1120" w:firstLineChars="400"/>
        <w:jc w:val="left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sz w:val="28"/>
          <w:szCs w:val="28"/>
        </w:rPr>
        <w:t>报告主体（盖章）：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马鞍山恒精新能源科技有限公司</w:t>
      </w:r>
    </w:p>
    <w:p w14:paraId="61615880">
      <w:pPr>
        <w:spacing w:line="360" w:lineRule="auto"/>
        <w:ind w:firstLine="1120" w:firstLineChars="40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报告年度：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年</w:t>
      </w:r>
      <w:r>
        <w:rPr>
          <w:rFonts w:ascii="Times New Roman" w:hAnsi="Times New Roman" w:eastAsia="宋体" w:cs="Times New Roman"/>
          <w:sz w:val="28"/>
          <w:szCs w:val="28"/>
        </w:rPr>
        <w:t>度</w:t>
      </w:r>
    </w:p>
    <w:p w14:paraId="08A6F2AF">
      <w:pPr>
        <w:spacing w:line="360" w:lineRule="auto"/>
        <w:ind w:firstLine="1120" w:firstLineChars="400"/>
        <w:jc w:val="left"/>
        <w:rPr>
          <w:rFonts w:ascii="Times New Roman" w:hAnsi="Times New Roman" w:eastAsia="宋体" w:cs="Times New Roman"/>
          <w:sz w:val="28"/>
          <w:szCs w:val="28"/>
          <w:highlight w:val="none"/>
        </w:rPr>
      </w:pPr>
      <w:r>
        <w:rPr>
          <w:rFonts w:ascii="Times New Roman" w:hAnsi="Times New Roman" w:eastAsia="宋体" w:cs="Times New Roman"/>
          <w:sz w:val="28"/>
          <w:szCs w:val="28"/>
          <w:highlight w:val="none"/>
        </w:rPr>
        <w:t>编制日期：202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5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03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月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27</w:t>
      </w:r>
      <w:r>
        <w:rPr>
          <w:rFonts w:ascii="Times New Roman" w:hAnsi="Times New Roman" w:eastAsia="宋体" w:cs="Times New Roman"/>
          <w:sz w:val="28"/>
          <w:szCs w:val="28"/>
          <w:highlight w:val="none"/>
        </w:rPr>
        <w:t>日</w:t>
      </w:r>
    </w:p>
    <w:p w14:paraId="2622B238">
      <w:pPr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 w14:paraId="475AA79E">
      <w:pPr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C633081">
      <w:pPr>
        <w:pStyle w:val="20"/>
        <w:spacing w:line="360" w:lineRule="auto"/>
        <w:jc w:val="center"/>
        <w:rPr>
          <w:rFonts w:ascii="Times New Roman" w:hAnsi="Times New Roman" w:eastAsia="黑体" w:cs="Times New Roman"/>
          <w:b/>
          <w:bCs/>
          <w:color w:val="000000"/>
        </w:rPr>
      </w:pPr>
      <w:r>
        <w:rPr>
          <w:rFonts w:ascii="Times New Roman" w:hAnsi="Times New Roman" w:eastAsia="黑体" w:cs="Times New Roman"/>
          <w:b/>
          <w:bCs/>
          <w:color w:val="000000"/>
          <w:lang w:val="zh-CN"/>
        </w:rPr>
        <w:t>目录</w:t>
      </w:r>
    </w:p>
    <w:p w14:paraId="32288019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fldChar w:fldCharType="begin"/>
      </w:r>
      <w:r>
        <w:rPr>
          <w:rFonts w:ascii="Times New Roman" w:hAnsi="Times New Roman" w:eastAsia="宋体" w:cs="Times New Roman"/>
          <w:sz w:val="28"/>
          <w:szCs w:val="28"/>
        </w:rPr>
        <w:instrText xml:space="preserve"> TOC \o "1-3" \h \z \u </w:instrText>
      </w:r>
      <w:r>
        <w:rPr>
          <w:rFonts w:ascii="Times New Roman" w:hAnsi="Times New Roman" w:eastAsia="宋体" w:cs="Times New Roman"/>
          <w:sz w:val="28"/>
          <w:szCs w:val="28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fldChar w:fldCharType="begin"/>
      </w:r>
      <w:r>
        <w:rPr>
          <w:rFonts w:ascii="Times New Roman" w:hAnsi="Times New Roman" w:eastAsia="宋体" w:cs="Times New Roman"/>
          <w:sz w:val="28"/>
          <w:szCs w:val="28"/>
        </w:rPr>
        <w:instrText xml:space="preserve"> HYPERLINK \l _Toc3796 </w:instrText>
      </w:r>
      <w:r>
        <w:rPr>
          <w:rFonts w:ascii="Times New Roman" w:hAnsi="Times New Roman" w:eastAsia="宋体" w:cs="Times New Roman"/>
          <w:sz w:val="28"/>
          <w:szCs w:val="28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1  编制依据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_Toc3796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sz w:val="28"/>
          <w:szCs w:val="28"/>
        </w:rPr>
        <w:fldChar w:fldCharType="end"/>
      </w:r>
    </w:p>
    <w:p w14:paraId="3F5613CE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_Toc27932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2  企业基本情况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_Toc27932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65642F94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_Toc25946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2.1  基本信息一览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_Toc25946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5C940B2A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_Toc975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2.2  组织机构描述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_Toc975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5C84D4C3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_Toc4497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2.3  工艺流程简介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_Toc4497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3A44617B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_Toc28892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2.4  核算单元划分及排放源识别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_Toc28892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7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4C331BA6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_Toc11644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3  温室气体排放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_Toc11644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9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0832DF01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_Toc19332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3.1 各排放源分项计算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_Toc19332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9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56A69423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_Toc2912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3.2汇总表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_Toc2912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10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65B24C1E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_Toc31970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4  活动数据及来源说明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_Toc31970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12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6EDDE224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_Toc22599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4.1 化石燃料活动水平数据及来源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_Toc22599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12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386B2DFA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_Toc11463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4.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宋体" w:cs="Times New Roman"/>
          <w:sz w:val="28"/>
          <w:szCs w:val="28"/>
        </w:rPr>
        <w:t xml:space="preserve"> 净购入电力活动水平数据及来源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_Toc11463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12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3F5A7C62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_Toc22505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5  排放因子数据及来源说明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_Toc22505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13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7C49F57D">
      <w:pPr>
        <w:pStyle w:val="9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_Toc1678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5.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宋体" w:cs="Times New Roman"/>
          <w:sz w:val="28"/>
          <w:szCs w:val="28"/>
        </w:rPr>
        <w:t xml:space="preserve"> 净购入电力排放因子数据及来源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_Toc1678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13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44AD9673">
      <w:pPr>
        <w:pStyle w:val="8"/>
        <w:tabs>
          <w:tab w:val="right" w:leader="dot" w:pos="8306"/>
        </w:tabs>
        <w:rPr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begin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instrText xml:space="preserve"> HYPERLINK \l _Toc11440 </w:instrText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separate"/>
      </w:r>
      <w:r>
        <w:rPr>
          <w:rFonts w:ascii="Times New Roman" w:hAnsi="Times New Roman" w:eastAsia="宋体" w:cs="Times New Roman"/>
          <w:sz w:val="28"/>
          <w:szCs w:val="28"/>
        </w:rPr>
        <w:t>6真实性声明</w:t>
      </w:r>
      <w:r>
        <w:rPr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PAGEREF _Toc11440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14</w:t>
      </w:r>
      <w:r>
        <w:rPr>
          <w:sz w:val="28"/>
          <w:szCs w:val="28"/>
        </w:rPr>
        <w:fldChar w:fldCharType="end"/>
      </w: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2834ACEC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8"/>
          <w:szCs w:val="28"/>
          <w:lang w:val="zh-CN"/>
        </w:rPr>
        <w:fldChar w:fldCharType="end"/>
      </w:r>
    </w:p>
    <w:p w14:paraId="37AB2B59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  <w:sectPr>
          <w:head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FCE3FFD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0" w:name="_Toc3796"/>
      <w:r>
        <w:rPr>
          <w:rFonts w:ascii="Times New Roman" w:hAnsi="Times New Roman" w:eastAsia="宋体" w:cs="Times New Roman"/>
          <w:sz w:val="28"/>
          <w:szCs w:val="28"/>
        </w:rPr>
        <w:t>1  编制依据</w:t>
      </w:r>
      <w:bookmarkEnd w:id="0"/>
    </w:p>
    <w:p w14:paraId="4CE485F2">
      <w:pPr>
        <w:spacing w:line="360" w:lineRule="auto"/>
        <w:ind w:firstLine="64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8"/>
          <w:szCs w:val="28"/>
        </w:rPr>
        <w:t>根据</w:t>
      </w:r>
      <w:r>
        <w:rPr>
          <w:rFonts w:hint="eastAsia" w:ascii="Times New Roman" w:hAnsi="Times New Roman" w:eastAsia="宋体" w:cs="Times New Roman"/>
          <w:sz w:val="28"/>
          <w:szCs w:val="28"/>
        </w:rPr>
        <w:t>《市生态环境局关于开展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0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</w:rPr>
        <w:t>度市级温室气体排放单位碳排放报告与核查工作的通知》（马环办〔2021〕96号）</w:t>
      </w:r>
      <w:r>
        <w:rPr>
          <w:rFonts w:ascii="Times New Roman" w:hAnsi="Times New Roman" w:eastAsia="宋体" w:cs="Times New Roman"/>
          <w:sz w:val="28"/>
          <w:szCs w:val="28"/>
        </w:rPr>
        <w:t>、《碳排放权交易管理办法》（试行）等文件，遵照《工业企业温室气体排放核算和报告通则》（GB/T 32150-2015）、《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中国化工生产企业温室气体排放核算方法与报告指南</w:t>
      </w:r>
      <w:r>
        <w:rPr>
          <w:rFonts w:hint="eastAsia" w:ascii="Times New Roman" w:hAnsi="Times New Roman" w:eastAsia="宋体" w:cs="Times New Roman"/>
          <w:sz w:val="28"/>
          <w:szCs w:val="28"/>
        </w:rPr>
        <w:t>（试行）</w:t>
      </w:r>
      <w:r>
        <w:rPr>
          <w:rFonts w:ascii="Times New Roman" w:hAnsi="Times New Roman" w:eastAsia="宋体" w:cs="Times New Roman"/>
          <w:sz w:val="28"/>
          <w:szCs w:val="28"/>
        </w:rPr>
        <w:t>》（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发改办气候[2013] 2526号</w:t>
      </w:r>
      <w:r>
        <w:rPr>
          <w:rFonts w:ascii="Times New Roman" w:hAnsi="Times New Roman" w:eastAsia="宋体" w:cs="Times New Roman"/>
          <w:sz w:val="28"/>
          <w:szCs w:val="28"/>
        </w:rPr>
        <w:t>），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马鞍山恒精新能源科技有限公司</w:t>
      </w:r>
      <w:r>
        <w:rPr>
          <w:rFonts w:ascii="Times New Roman" w:hAnsi="Times New Roman" w:eastAsia="宋体" w:cs="Times New Roman"/>
          <w:sz w:val="28"/>
          <w:szCs w:val="28"/>
        </w:rPr>
        <w:t>核算了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年</w:t>
      </w:r>
      <w:r>
        <w:rPr>
          <w:rFonts w:ascii="Times New Roman" w:hAnsi="Times New Roman" w:eastAsia="宋体" w:cs="Times New Roman"/>
          <w:sz w:val="28"/>
          <w:szCs w:val="28"/>
        </w:rPr>
        <w:t>度温室气体排放量，并填写了相关数据表格。现将有关情况报告如下。</w:t>
      </w:r>
    </w:p>
    <w:p w14:paraId="7595704F">
      <w:pPr>
        <w:spacing w:line="360" w:lineRule="auto"/>
        <w:ind w:firstLine="641"/>
        <w:rPr>
          <w:rFonts w:ascii="Times New Roman" w:hAnsi="Times New Roman" w:eastAsia="宋体" w:cs="Times New Roman"/>
          <w:sz w:val="24"/>
          <w:szCs w:val="24"/>
        </w:rPr>
      </w:pPr>
    </w:p>
    <w:p w14:paraId="41108407">
      <w:pPr>
        <w:spacing w:line="360" w:lineRule="auto"/>
        <w:ind w:firstLine="641"/>
        <w:rPr>
          <w:rFonts w:ascii="Times New Roman" w:hAnsi="Times New Roman" w:eastAsia="宋体" w:cs="Times New Roman"/>
          <w:sz w:val="24"/>
          <w:szCs w:val="24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63F924B1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1" w:name="_Toc27932"/>
      <w:r>
        <w:rPr>
          <w:rFonts w:ascii="Times New Roman" w:hAnsi="Times New Roman" w:eastAsia="宋体" w:cs="Times New Roman"/>
          <w:sz w:val="28"/>
          <w:szCs w:val="28"/>
        </w:rPr>
        <w:t>2  企业基本情况</w:t>
      </w:r>
      <w:bookmarkEnd w:id="1"/>
    </w:p>
    <w:p w14:paraId="7D5814A4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2" w:name="_Toc25946"/>
      <w:r>
        <w:rPr>
          <w:rFonts w:ascii="Times New Roman" w:hAnsi="Times New Roman" w:eastAsia="宋体" w:cs="Times New Roman"/>
          <w:sz w:val="24"/>
          <w:szCs w:val="24"/>
        </w:rPr>
        <w:t>2.1  基本信息一览</w:t>
      </w:r>
      <w:bookmarkEnd w:id="2"/>
    </w:p>
    <w:p w14:paraId="169D3155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马鞍山恒精新能源科技有限公司成立于2019年11月6日，注册地址为安徽省马鞍山市博望区丹阳镇康庄路339号，法定代表人：刘又红。统一社会信用代码:91340506MA2U9A9NXF。经营范围为金属材料和金属表面热处理的相关技术研发、技术转让、技术服务，金属材料、机械零部件加工、销售、检测服务，自营和代理各类货物或技术进出口业务。</w:t>
      </w:r>
    </w:p>
    <w:p w14:paraId="789D5D15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公司注重上下游产业协同发展，立足在新能源行业的研发与制造主业，同时发挥协同作用，着重发展高端铸造、智慧水务、环保工程及维保服务四大领域。</w:t>
      </w:r>
    </w:p>
    <w:p w14:paraId="63CC7EB0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公司位于长三角经济区，交通便利，物流通畅。占地约77.43亩，项目总建筑面积42661.54m2，劳动定员70人。包括生产车间、综合楼、门卫等，同时购置连续炉、数控车床、罩式氮化炉、喷漆房、淬火设备等主要生产设备；并包括相关场地道路硬化和配套的给排水、供电、网络通讯、接线等设施。</w:t>
      </w:r>
    </w:p>
    <w:p w14:paraId="0CEFA1CF">
      <w:pPr>
        <w:spacing w:line="360" w:lineRule="auto"/>
        <w:ind w:firstLine="641"/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恒精新能源科技有限公司始终努力在国产新能源行业贡献力量，致力于人与自然、社会的和谐发展。兼顾股东、员工、客户、大众的利益，求真务实，开拓创新，以自身的壮大聚集能量，尽力做到服务全中国，服务全世界。</w:t>
      </w:r>
    </w:p>
    <w:p w14:paraId="46248E50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7880257D">
      <w:pP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br w:type="page"/>
      </w:r>
    </w:p>
    <w:p w14:paraId="04D7A40E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表2-1报告主体基本信息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2177"/>
        <w:gridCol w:w="806"/>
        <w:gridCol w:w="956"/>
        <w:gridCol w:w="365"/>
        <w:gridCol w:w="675"/>
        <w:gridCol w:w="155"/>
        <w:gridCol w:w="1990"/>
      </w:tblGrid>
      <w:tr w14:paraId="6DE62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3340589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企业名称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6FE7FE24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马鞍山恒精新能源科技有限公司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00DE468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开业（成立）时间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49C5380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年11月</w:t>
            </w:r>
          </w:p>
        </w:tc>
      </w:tr>
      <w:tr w14:paraId="665E8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820" w:type="pct"/>
            <w:noWrap w:val="0"/>
            <w:vAlign w:val="center"/>
          </w:tcPr>
          <w:p w14:paraId="29AFF9A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组织机构代码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3759AE5D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91340506MA2U9A9NXF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56FDFA7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社会信用代码</w:t>
            </w:r>
          </w:p>
        </w:tc>
        <w:tc>
          <w:tcPr>
            <w:tcW w:w="1654" w:type="pct"/>
            <w:gridSpan w:val="3"/>
            <w:shd w:val="clear" w:color="auto" w:fill="auto"/>
            <w:noWrap w:val="0"/>
            <w:vAlign w:val="center"/>
          </w:tcPr>
          <w:p w14:paraId="26D06A4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eastAsia="zh-CN" w:bidi="ar-SA"/>
              </w:rPr>
              <w:t>91340506MA2U9A9NXF</w:t>
            </w:r>
          </w:p>
        </w:tc>
      </w:tr>
      <w:tr w14:paraId="7C88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3603C16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隶属关系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2C030F61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马鞍山市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博望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区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75B237E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登记注册类型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0C6D9A3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其他有限责任公司</w:t>
            </w:r>
          </w:p>
        </w:tc>
      </w:tr>
      <w:tr w14:paraId="7C9C2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3623307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国民经济行业代码</w:t>
            </w:r>
          </w:p>
        </w:tc>
        <w:tc>
          <w:tcPr>
            <w:tcW w:w="1750" w:type="pct"/>
            <w:gridSpan w:val="2"/>
            <w:shd w:val="clear" w:color="auto" w:fill="auto"/>
            <w:noWrap w:val="0"/>
            <w:vAlign w:val="center"/>
          </w:tcPr>
          <w:p w14:paraId="13EAABB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24"/>
                <w:szCs w:val="24"/>
                <w:lang w:eastAsia="zh-CN"/>
              </w:rPr>
              <w:t>C3670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564A33C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是否碳交易企业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5AFEE37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否</w:t>
            </w:r>
          </w:p>
        </w:tc>
      </w:tr>
      <w:tr w14:paraId="7F08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1852D17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主行业</w:t>
            </w:r>
          </w:p>
        </w:tc>
        <w:tc>
          <w:tcPr>
            <w:tcW w:w="2983" w:type="dxa"/>
            <w:gridSpan w:val="2"/>
            <w:noWrap w:val="0"/>
            <w:vAlign w:val="center"/>
          </w:tcPr>
          <w:p w14:paraId="6395387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汽车零部件及配件制造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5257DB2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联系人固定电话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328A062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0555-4816999</w:t>
            </w:r>
          </w:p>
        </w:tc>
      </w:tr>
      <w:tr w14:paraId="63644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4B36859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法定代表人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702FDA96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刘又红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41A0A69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直报工作联系人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4ECAE51D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陈旭</w:t>
            </w:r>
          </w:p>
        </w:tc>
      </w:tr>
      <w:tr w14:paraId="6FEE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16FFFD8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法定代表人手机号码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6D279EAF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16605556699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250B481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联系人手机号码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68B34E0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16605558156</w:t>
            </w:r>
          </w:p>
        </w:tc>
      </w:tr>
      <w:tr w14:paraId="7D07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44AA4FF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法定代表人邮箱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6791AF4F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7438450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联系人邮箱</w:t>
            </w:r>
          </w:p>
        </w:tc>
        <w:tc>
          <w:tcPr>
            <w:tcW w:w="1654" w:type="pct"/>
            <w:gridSpan w:val="3"/>
            <w:noWrap w:val="0"/>
            <w:vAlign w:val="center"/>
          </w:tcPr>
          <w:p w14:paraId="7ECB8656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/</w:t>
            </w:r>
          </w:p>
        </w:tc>
      </w:tr>
      <w:tr w14:paraId="27C6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58E9520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单位注册地址</w:t>
            </w:r>
          </w:p>
        </w:tc>
        <w:tc>
          <w:tcPr>
            <w:tcW w:w="4179" w:type="pct"/>
            <w:gridSpan w:val="7"/>
            <w:noWrap w:val="0"/>
            <w:vAlign w:val="center"/>
          </w:tcPr>
          <w:p w14:paraId="17BC0E1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马鞍山市博望区丹阳镇康庄路与润州路交叉口西南角</w:t>
            </w:r>
          </w:p>
        </w:tc>
      </w:tr>
      <w:tr w14:paraId="4D91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noWrap w:val="0"/>
            <w:vAlign w:val="center"/>
          </w:tcPr>
          <w:p w14:paraId="08FBDFE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经营地址信息</w:t>
            </w:r>
          </w:p>
        </w:tc>
        <w:tc>
          <w:tcPr>
            <w:tcW w:w="4179" w:type="pct"/>
            <w:gridSpan w:val="7"/>
            <w:noWrap w:val="0"/>
            <w:vAlign w:val="center"/>
          </w:tcPr>
          <w:p w14:paraId="3072848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马鞍山市博望区丹阳镇康庄路与润州路交叉口西南角</w:t>
            </w:r>
          </w:p>
        </w:tc>
      </w:tr>
      <w:tr w14:paraId="044A8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7BF3758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产值（万元）</w:t>
            </w:r>
          </w:p>
        </w:tc>
        <w:tc>
          <w:tcPr>
            <w:tcW w:w="1750" w:type="pct"/>
            <w:gridSpan w:val="2"/>
            <w:noWrap w:val="0"/>
            <w:vAlign w:val="center"/>
          </w:tcPr>
          <w:p w14:paraId="310C250F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4"/>
                <w:szCs w:val="32"/>
                <w:lang w:val="en-US" w:eastAsia="zh-CN" w:bidi="ar-SA"/>
              </w:rPr>
              <w:t>10149.8</w:t>
            </w:r>
          </w:p>
        </w:tc>
        <w:tc>
          <w:tcPr>
            <w:tcW w:w="1171" w:type="pct"/>
            <w:gridSpan w:val="3"/>
            <w:noWrap w:val="0"/>
            <w:vAlign w:val="center"/>
          </w:tcPr>
          <w:p w14:paraId="7FCE002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工业增加值（万元）</w:t>
            </w:r>
          </w:p>
        </w:tc>
        <w:tc>
          <w:tcPr>
            <w:tcW w:w="1258" w:type="pct"/>
            <w:gridSpan w:val="2"/>
            <w:noWrap w:val="0"/>
            <w:vAlign w:val="center"/>
          </w:tcPr>
          <w:p w14:paraId="5CC4ADB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101.70</w:t>
            </w:r>
          </w:p>
        </w:tc>
      </w:tr>
      <w:tr w14:paraId="369D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339E747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建筑面积</w:t>
            </w:r>
          </w:p>
        </w:tc>
        <w:tc>
          <w:tcPr>
            <w:tcW w:w="4179" w:type="pct"/>
            <w:gridSpan w:val="7"/>
            <w:noWrap w:val="0"/>
            <w:vAlign w:val="center"/>
          </w:tcPr>
          <w:p w14:paraId="2A82F4E0">
            <w:pPr>
              <w:snapToGrid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65428.49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2</w:t>
            </w:r>
          </w:p>
        </w:tc>
      </w:tr>
      <w:tr w14:paraId="07EB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noWrap w:val="0"/>
            <w:vAlign w:val="center"/>
          </w:tcPr>
          <w:p w14:paraId="7E9E564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产品详情</w:t>
            </w:r>
          </w:p>
        </w:tc>
        <w:tc>
          <w:tcPr>
            <w:tcW w:w="4179" w:type="pct"/>
            <w:gridSpan w:val="7"/>
            <w:noWrap w:val="0"/>
            <w:vAlign w:val="center"/>
          </w:tcPr>
          <w:p w14:paraId="4B920B0F">
            <w:pPr>
              <w:snapToGrid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氧气1042465000m³，氮气1339550000m³，氩气19197000m³，氢气14691800m³，净化焦炉煤气1772098.49m³。</w:t>
            </w:r>
          </w:p>
        </w:tc>
      </w:tr>
      <w:tr w14:paraId="6399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7F77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报告年度能源消费情况</w:t>
            </w:r>
          </w:p>
        </w:tc>
        <w:tc>
          <w:tcPr>
            <w:tcW w:w="1277" w:type="pct"/>
            <w:noWrap w:val="0"/>
            <w:vAlign w:val="center"/>
          </w:tcPr>
          <w:p w14:paraId="0863F1E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能源品种</w:t>
            </w:r>
          </w:p>
        </w:tc>
        <w:tc>
          <w:tcPr>
            <w:tcW w:w="1034" w:type="pct"/>
            <w:gridSpan w:val="2"/>
            <w:noWrap w:val="0"/>
            <w:vAlign w:val="center"/>
          </w:tcPr>
          <w:p w14:paraId="7BD01C1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能源消费实物量</w:t>
            </w:r>
          </w:p>
        </w:tc>
        <w:tc>
          <w:tcPr>
            <w:tcW w:w="701" w:type="pct"/>
            <w:gridSpan w:val="3"/>
            <w:noWrap w:val="0"/>
            <w:vAlign w:val="center"/>
          </w:tcPr>
          <w:p w14:paraId="70C8F2D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1166" w:type="pct"/>
            <w:noWrap w:val="0"/>
            <w:vAlign w:val="center"/>
          </w:tcPr>
          <w:p w14:paraId="205576F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备注</w:t>
            </w:r>
          </w:p>
        </w:tc>
      </w:tr>
      <w:tr w14:paraId="376F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E45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7" w:type="pct"/>
            <w:tcBorders>
              <w:left w:val="single" w:color="auto" w:sz="4" w:space="0"/>
            </w:tcBorders>
            <w:noWrap w:val="0"/>
            <w:vAlign w:val="center"/>
          </w:tcPr>
          <w:p w14:paraId="28C14B6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电力（华东地区电网）</w:t>
            </w:r>
          </w:p>
        </w:tc>
        <w:tc>
          <w:tcPr>
            <w:tcW w:w="1034" w:type="pct"/>
            <w:gridSpan w:val="2"/>
            <w:noWrap w:val="0"/>
            <w:vAlign w:val="center"/>
          </w:tcPr>
          <w:p w14:paraId="7AB3C28E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14870 </w:t>
            </w:r>
          </w:p>
        </w:tc>
        <w:tc>
          <w:tcPr>
            <w:tcW w:w="701" w:type="pct"/>
            <w:gridSpan w:val="3"/>
            <w:noWrap w:val="0"/>
            <w:vAlign w:val="center"/>
          </w:tcPr>
          <w:p w14:paraId="593BA41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MWh</w:t>
            </w:r>
          </w:p>
        </w:tc>
        <w:tc>
          <w:tcPr>
            <w:tcW w:w="1166" w:type="pct"/>
            <w:noWrap w:val="0"/>
            <w:vAlign w:val="center"/>
          </w:tcPr>
          <w:p w14:paraId="5FA0546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净购入电力</w:t>
            </w:r>
          </w:p>
        </w:tc>
      </w:tr>
    </w:tbl>
    <w:p w14:paraId="00835CB6">
      <w:pPr>
        <w:bidi w:val="0"/>
      </w:pPr>
    </w:p>
    <w:p w14:paraId="41F851E5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3" w:name="_Toc975"/>
      <w:r>
        <w:rPr>
          <w:rFonts w:ascii="Times New Roman" w:hAnsi="Times New Roman" w:eastAsia="宋体" w:cs="Times New Roman"/>
          <w:sz w:val="24"/>
          <w:szCs w:val="24"/>
        </w:rPr>
        <w:t>2.2  组织机构描述</w:t>
      </w:r>
      <w:bookmarkEnd w:id="3"/>
    </w:p>
    <w:p w14:paraId="48B99768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公司组织机构如图2-2所示。</w:t>
      </w:r>
    </w:p>
    <w:p w14:paraId="79B7E093">
      <w:pPr>
        <w:spacing w:line="360" w:lineRule="auto"/>
        <w:jc w:val="both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drawing>
          <wp:inline distT="0" distB="0" distL="114300" distR="114300">
            <wp:extent cx="5415280" cy="2959100"/>
            <wp:effectExtent l="0" t="0" r="10160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D0A89">
      <w:pPr>
        <w:spacing w:line="360" w:lineRule="auto"/>
        <w:ind w:firstLine="641"/>
        <w:jc w:val="center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图2-2  公司组织机构图</w:t>
      </w:r>
    </w:p>
    <w:p w14:paraId="12F26DE7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马鞍山恒精新能源科技有限公司的管理体系健全，公司组织管理原则如下：</w:t>
      </w:r>
    </w:p>
    <w:p w14:paraId="60EA7358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1、集权与分权相结合原则：统一领导、分级管理；</w:t>
      </w:r>
    </w:p>
    <w:p w14:paraId="04A9865F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2、命令指挥统一原则：下级组织只接受一个上级组织的命令和指挥，个人只对一个上级汇报工作的原则；</w:t>
      </w:r>
    </w:p>
    <w:p w14:paraId="0852D469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3、责权利相对应原则：责任明确、权利适当、利益合理；</w:t>
      </w:r>
    </w:p>
    <w:p w14:paraId="50BB3B57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4、执行和监督分设原则：监督要公正客观，必须不直接参与执行；</w:t>
      </w:r>
    </w:p>
    <w:p w14:paraId="57DE267E">
      <w:pPr>
        <w:spacing w:line="360" w:lineRule="auto"/>
        <w:ind w:firstLine="641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5、合理分工、团结协作；</w:t>
      </w:r>
    </w:p>
    <w:p w14:paraId="3F7D7594">
      <w:pPr>
        <w:spacing w:line="360" w:lineRule="auto"/>
        <w:ind w:firstLine="641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6、组织的总目标至高无上，任何个人和团体利益不能置于组织利益之上。</w:t>
      </w:r>
    </w:p>
    <w:p w14:paraId="1371B048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4" w:name="_Toc4497"/>
      <w:r>
        <w:rPr>
          <w:rFonts w:ascii="Times New Roman" w:hAnsi="Times New Roman" w:eastAsia="宋体" w:cs="Times New Roman"/>
          <w:sz w:val="24"/>
          <w:szCs w:val="24"/>
        </w:rPr>
        <w:t>2.3  工艺流程简介</w:t>
      </w:r>
      <w:bookmarkEnd w:id="4"/>
    </w:p>
    <w:p w14:paraId="25861F4F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本公司主要工艺是进行刹车系统零部件全工序生产，主要生产过程为外购成品铸件，而后对铸件进行热处理、机加工、表处理和喷涂作业，生产自动化程度较高，作业方式为手工结合机械生产，其主要生产工艺流程如下：</w:t>
      </w:r>
    </w:p>
    <w:p w14:paraId="305D021C">
      <w:pPr>
        <w:spacing w:line="360" w:lineRule="auto"/>
        <w:ind w:firstLine="420" w:firstLineChars="200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481705" cy="7579360"/>
            <wp:effectExtent l="0" t="0" r="825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r="1851" b="650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757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BEA89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1ABA0365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图2-3  工艺流程图</w:t>
      </w:r>
    </w:p>
    <w:p w14:paraId="39CAB6D1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5" w:name="_Toc28892"/>
      <w:r>
        <w:rPr>
          <w:rFonts w:ascii="Times New Roman" w:hAnsi="Times New Roman" w:eastAsia="宋体" w:cs="Times New Roman"/>
          <w:sz w:val="24"/>
          <w:szCs w:val="24"/>
        </w:rPr>
        <w:t>2.4  核算单元划分及排放源识别</w:t>
      </w:r>
      <w:bookmarkEnd w:id="5"/>
    </w:p>
    <w:p w14:paraId="59D9E35B">
      <w:pPr>
        <w:spacing w:line="360" w:lineRule="auto"/>
        <w:ind w:firstLine="482" w:firstLineChars="200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1、企业核算单元划分</w:t>
      </w:r>
    </w:p>
    <w:p w14:paraId="5CCC0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马鞍山恒精新能源科技有限公司，位于马鞍山市博望区丹阳镇康庄路与润州路交叉口西南角。企业温室气体排放核算边界为整个厂区。其中：</w:t>
      </w:r>
    </w:p>
    <w:p w14:paraId="14E77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（1）主要生产系统：生产车间。</w:t>
      </w:r>
    </w:p>
    <w:p w14:paraId="75C8D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（2）辅助生产系统：包括动力、供电、供水、库房等公用工程。</w:t>
      </w:r>
    </w:p>
    <w:p w14:paraId="0655D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（3）附属生产系统：综合办公楼等。</w:t>
      </w:r>
    </w:p>
    <w:p w14:paraId="1644F478"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</w:p>
    <w:p w14:paraId="736FF5BD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8B36A04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马鞍山恒精新能源科技有限公司</w:t>
      </w:r>
      <w:r>
        <w:rPr>
          <w:rFonts w:ascii="Times New Roman" w:hAnsi="Times New Roman" w:eastAsia="宋体" w:cs="Times New Roman"/>
          <w:sz w:val="24"/>
          <w:szCs w:val="24"/>
        </w:rPr>
        <w:t>的主要能源流向简图如图2-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所示。</w:t>
      </w:r>
    </w:p>
    <w:p w14:paraId="766A70A3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>
          <v:shape id="_x0000_i1025" o:spt="75" type="#_x0000_t75" style="height:135.75pt;width:294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10">
            <o:LockedField>false</o:LockedField>
          </o:OLEObject>
        </w:object>
      </w:r>
    </w:p>
    <w:p w14:paraId="1ECCFDF2">
      <w:pPr>
        <w:spacing w:line="360" w:lineRule="auto"/>
        <w:jc w:val="center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图2-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 能源流向简图</w:t>
      </w:r>
    </w:p>
    <w:p w14:paraId="4427EA32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根据各生产工艺流程图，企业生产过程主要消耗电力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蒸汽</w:t>
      </w:r>
      <w:r>
        <w:rPr>
          <w:rFonts w:ascii="Times New Roman" w:hAnsi="Times New Roman" w:eastAsia="宋体" w:cs="Times New Roman"/>
          <w:sz w:val="24"/>
          <w:szCs w:val="24"/>
        </w:rPr>
        <w:t>等。</w:t>
      </w:r>
    </w:p>
    <w:p w14:paraId="04818106">
      <w:pPr>
        <w:spacing w:line="360" w:lineRule="auto"/>
        <w:ind w:firstLine="482" w:firstLineChars="200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2、排放源识别</w:t>
      </w:r>
    </w:p>
    <w:p w14:paraId="43A2D116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根据企业生产工艺，报告主体识别了电力（华东地区电网）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、蒸汽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个识别项。具体核算边界如图2-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</w:rPr>
        <w:t>所示。</w:t>
      </w:r>
    </w:p>
    <w:p w14:paraId="68697D14"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object>
          <v:shape id="_x0000_i1026" o:spt="75" type="#_x0000_t75" style="height:143.75pt;width:421.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12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4"/>
        </w:rPr>
        <w:t>图2-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</w:rPr>
        <w:t xml:space="preserve">  温室气体核算边界</w:t>
      </w:r>
    </w:p>
    <w:p w14:paraId="3340B677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ACC8FD5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6" w:name="_Toc11644"/>
      <w:r>
        <w:rPr>
          <w:rFonts w:ascii="Times New Roman" w:hAnsi="Times New Roman" w:eastAsia="宋体" w:cs="Times New Roman"/>
          <w:sz w:val="28"/>
          <w:szCs w:val="28"/>
        </w:rPr>
        <w:t>3  温室气体排放</w:t>
      </w:r>
      <w:bookmarkEnd w:id="6"/>
    </w:p>
    <w:p w14:paraId="7F5CF610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7" w:name="_Toc19332"/>
      <w:r>
        <w:rPr>
          <w:rFonts w:ascii="Times New Roman" w:hAnsi="Times New Roman" w:eastAsia="宋体" w:cs="Times New Roman"/>
          <w:sz w:val="24"/>
          <w:szCs w:val="24"/>
        </w:rPr>
        <w:t>3.1 各排放源分项计算</w:t>
      </w:r>
      <w:bookmarkEnd w:id="7"/>
    </w:p>
    <w:p w14:paraId="3272E232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报告主体在生产过程中仅消耗电力，根据企业实际采购的结算凭证，并根据</w:t>
      </w:r>
      <w:r>
        <w:rPr>
          <w:rFonts w:hint="eastAsia" w:ascii="Times New Roman" w:hAnsi="Times New Roman" w:eastAsia="宋体" w:cs="Times New Roman"/>
          <w:sz w:val="24"/>
          <w:szCs w:val="24"/>
        </w:rPr>
        <w:t>《2019年度减排项目中国区域电网基准线排放因子》</w:t>
      </w:r>
      <w:r>
        <w:rPr>
          <w:rFonts w:ascii="Times New Roman" w:hAnsi="Times New Roman" w:eastAsia="宋体" w:cs="Times New Roman"/>
          <w:sz w:val="24"/>
          <w:szCs w:val="24"/>
        </w:rPr>
        <w:t>和《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中国化工生产企业温室气体排放核算方法与报告指南</w:t>
      </w:r>
      <w:r>
        <w:rPr>
          <w:rFonts w:hint="eastAsia" w:ascii="Times New Roman" w:hAnsi="Times New Roman" w:eastAsia="宋体" w:cs="Times New Roman"/>
          <w:sz w:val="24"/>
          <w:szCs w:val="24"/>
        </w:rPr>
        <w:t>（试行）</w:t>
      </w:r>
      <w:r>
        <w:rPr>
          <w:rFonts w:ascii="Times New Roman" w:hAnsi="Times New Roman" w:eastAsia="宋体" w:cs="Times New Roman"/>
          <w:sz w:val="24"/>
          <w:szCs w:val="24"/>
        </w:rPr>
        <w:t>》（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发改办气候[2013] 2526号</w:t>
      </w:r>
      <w:r>
        <w:rPr>
          <w:rFonts w:ascii="Times New Roman" w:hAnsi="Times New Roman" w:eastAsia="宋体" w:cs="Times New Roman"/>
          <w:sz w:val="24"/>
          <w:szCs w:val="24"/>
        </w:rPr>
        <w:t>），在核算单元划分、碳源流及排放源识别的基础上，报告主体核算并报告了各核算单元的温室气体排放量）以及其下各排放源的排放量，报告主体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年</w:t>
      </w:r>
      <w:r>
        <w:rPr>
          <w:rFonts w:ascii="Times New Roman" w:hAnsi="Times New Roman" w:eastAsia="宋体" w:cs="Times New Roman"/>
          <w:sz w:val="24"/>
          <w:szCs w:val="24"/>
        </w:rPr>
        <w:t>度温室气体排放总量如下。</w:t>
      </w:r>
    </w:p>
    <w:p w14:paraId="17A27CB4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7EB223E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表3-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 净购入电力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</w:rPr>
        <w:t>和热力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引起的消费排放数据表</w:t>
      </w:r>
    </w:p>
    <w:tbl>
      <w:tblPr>
        <w:tblStyle w:val="1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4"/>
        <w:gridCol w:w="2183"/>
        <w:gridCol w:w="1933"/>
        <w:gridCol w:w="1695"/>
        <w:gridCol w:w="2911"/>
        <w:gridCol w:w="2558"/>
      </w:tblGrid>
      <w:tr w14:paraId="4F4AF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9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5D123B0">
            <w:pPr>
              <w:widowControl/>
              <w:spacing w:line="36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报告主体名称：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马鞍山恒精新能源科技有限公司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18D3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年度：202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 w14:paraId="16C5C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06A3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205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7AF7CC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净购入量</w:t>
            </w:r>
          </w:p>
        </w:tc>
        <w:tc>
          <w:tcPr>
            <w:tcW w:w="102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D646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排放因子</w:t>
            </w:r>
          </w:p>
          <w:p w14:paraId="2BD8E0F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(t 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/MWh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或GJ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0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44B2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排放量</w:t>
            </w:r>
          </w:p>
          <w:p w14:paraId="4BDD0AE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（t 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14:paraId="3EEC9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8133B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90F6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净购入量</w:t>
            </w:r>
          </w:p>
          <w:p w14:paraId="44E1905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(MWh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或GJ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6E82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购入量</w:t>
            </w:r>
          </w:p>
          <w:p w14:paraId="048FDDB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(MWh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或GJ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BE70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外供量</w:t>
            </w:r>
          </w:p>
          <w:p w14:paraId="39E3BE4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(MWh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或GJ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2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52FF2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371A9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0D54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57DA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电力（华东地区电网）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3974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14870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40B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14870 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E404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F83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70C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0.6782</w:t>
            </w:r>
          </w:p>
        </w:tc>
        <w:tc>
          <w:tcPr>
            <w:tcW w:w="9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2B9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</w:tr>
      <w:tr w14:paraId="3E91F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9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5F0993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9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4B9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10084.83 </w:t>
            </w:r>
          </w:p>
        </w:tc>
      </w:tr>
    </w:tbl>
    <w:p w14:paraId="56940802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8" w:name="_Toc2912"/>
      <w:r>
        <w:rPr>
          <w:rFonts w:ascii="Times New Roman" w:hAnsi="Times New Roman" w:eastAsia="宋体" w:cs="Times New Roman"/>
          <w:sz w:val="24"/>
          <w:szCs w:val="24"/>
        </w:rPr>
        <w:t>3.2汇总表</w:t>
      </w:r>
      <w:bookmarkEnd w:id="8"/>
    </w:p>
    <w:p w14:paraId="17D728F0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</w:rPr>
        <w:t>表3-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 xml:space="preserve">  报告主体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年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温室气体排放量汇总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1715"/>
        <w:gridCol w:w="1758"/>
        <w:gridCol w:w="3573"/>
        <w:gridCol w:w="3768"/>
      </w:tblGrid>
      <w:tr w14:paraId="459E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670" w:type="pct"/>
            <w:gridSpan w:val="4"/>
            <w:noWrap w:val="0"/>
            <w:vAlign w:val="center"/>
          </w:tcPr>
          <w:p w14:paraId="063B54FF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报告主体名称：</w:t>
            </w:r>
          </w:p>
        </w:tc>
        <w:tc>
          <w:tcPr>
            <w:tcW w:w="1329" w:type="pct"/>
            <w:noWrap w:val="0"/>
            <w:vAlign w:val="center"/>
          </w:tcPr>
          <w:p w14:paraId="35EC7C34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年度：202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</w:tr>
      <w:tr w14:paraId="35B9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790" w:type="pct"/>
            <w:gridSpan w:val="2"/>
            <w:noWrap w:val="0"/>
            <w:vAlign w:val="center"/>
          </w:tcPr>
          <w:p w14:paraId="017CC84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源类别</w:t>
            </w:r>
          </w:p>
        </w:tc>
        <w:tc>
          <w:tcPr>
            <w:tcW w:w="620" w:type="pct"/>
            <w:noWrap w:val="0"/>
            <w:vAlign w:val="center"/>
          </w:tcPr>
          <w:p w14:paraId="42688FB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气体</w:t>
            </w:r>
          </w:p>
        </w:tc>
        <w:tc>
          <w:tcPr>
            <w:tcW w:w="1260" w:type="pct"/>
            <w:noWrap w:val="0"/>
            <w:vAlign w:val="center"/>
          </w:tcPr>
          <w:p w14:paraId="5E187D5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排放量小计（t）</w:t>
            </w:r>
          </w:p>
        </w:tc>
        <w:tc>
          <w:tcPr>
            <w:tcW w:w="1329" w:type="pct"/>
            <w:noWrap w:val="0"/>
            <w:vAlign w:val="center"/>
          </w:tcPr>
          <w:p w14:paraId="353DB2A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温室气体排放量(tCO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e)</w:t>
            </w:r>
          </w:p>
        </w:tc>
      </w:tr>
      <w:tr w14:paraId="1AFA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670" w:type="pct"/>
            <w:gridSpan w:val="4"/>
            <w:noWrap w:val="0"/>
            <w:vAlign w:val="center"/>
          </w:tcPr>
          <w:p w14:paraId="2E362468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</w:rPr>
              <w:t>净购入电力和热力隐含的排放</w:t>
            </w:r>
          </w:p>
        </w:tc>
        <w:tc>
          <w:tcPr>
            <w:tcW w:w="1329" w:type="pct"/>
            <w:noWrap w:val="0"/>
            <w:vAlign w:val="center"/>
          </w:tcPr>
          <w:p w14:paraId="2EA9C3DF">
            <w:pPr>
              <w:widowControl/>
              <w:spacing w:line="360" w:lineRule="auto"/>
              <w:jc w:val="righ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</w:rPr>
            </w:pPr>
          </w:p>
        </w:tc>
      </w:tr>
      <w:tr w14:paraId="6AAC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B134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净购入电力隐含的排放</w:t>
            </w:r>
          </w:p>
        </w:tc>
        <w:tc>
          <w:tcPr>
            <w:tcW w:w="620" w:type="pct"/>
            <w:noWrap w:val="0"/>
            <w:vAlign w:val="center"/>
          </w:tcPr>
          <w:p w14:paraId="60E9FDB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CO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vertAlign w:val="subscript"/>
              </w:rPr>
              <w:t>2</w:t>
            </w:r>
          </w:p>
        </w:tc>
        <w:tc>
          <w:tcPr>
            <w:tcW w:w="1260" w:type="pct"/>
            <w:noWrap w:val="0"/>
            <w:vAlign w:val="center"/>
          </w:tcPr>
          <w:p w14:paraId="171DFA7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  <w:tc>
          <w:tcPr>
            <w:tcW w:w="1329" w:type="pct"/>
            <w:noWrap w:val="0"/>
            <w:vAlign w:val="center"/>
          </w:tcPr>
          <w:p w14:paraId="76BC595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</w:tr>
      <w:tr w14:paraId="48B5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017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企业温室气体排放总量</w:t>
            </w:r>
          </w:p>
        </w:tc>
        <w:tc>
          <w:tcPr>
            <w:tcW w:w="12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685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不包括净购入电力和热力</w:t>
            </w:r>
          </w:p>
        </w:tc>
        <w:tc>
          <w:tcPr>
            <w:tcW w:w="1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F0E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7635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34C4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E4A64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865D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包括净购入电力和热力</w:t>
            </w:r>
          </w:p>
        </w:tc>
        <w:tc>
          <w:tcPr>
            <w:tcW w:w="1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EC0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  <w:tc>
          <w:tcPr>
            <w:tcW w:w="1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01BA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</w:tr>
    </w:tbl>
    <w:p w14:paraId="460D3C7C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</w:rPr>
      </w:pPr>
      <w:bookmarkStart w:id="14" w:name="_GoBack"/>
      <w:bookmarkEnd w:id="14"/>
    </w:p>
    <w:p w14:paraId="33E1EBA9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9" w:name="_Toc31970"/>
      <w:r>
        <w:rPr>
          <w:rFonts w:ascii="Times New Roman" w:hAnsi="Times New Roman" w:eastAsia="宋体" w:cs="Times New Roman"/>
          <w:sz w:val="28"/>
          <w:szCs w:val="28"/>
        </w:rPr>
        <w:t>4  活动数据及来源说明</w:t>
      </w:r>
      <w:bookmarkEnd w:id="9"/>
    </w:p>
    <w:p w14:paraId="1446BE40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企业的能源消耗主要为电力，用量计量符合《用能单位能源计量器具配备和管理通则》（GB17167-2006）规定。</w:t>
      </w:r>
    </w:p>
    <w:p w14:paraId="4F7AAFA7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10" w:name="_Toc11463"/>
      <w:r>
        <w:rPr>
          <w:rFonts w:ascii="Times New Roman" w:hAnsi="Times New Roman" w:eastAsia="宋体" w:cs="Times New Roman"/>
          <w:sz w:val="24"/>
          <w:szCs w:val="24"/>
        </w:rPr>
        <w:t>4.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 xml:space="preserve"> 净购入电力活动水平数据及来源</w:t>
      </w:r>
      <w:bookmarkEnd w:id="10"/>
    </w:p>
    <w:p w14:paraId="00279850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表4-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 净购入电力活动水平数据及来源表</w:t>
      </w:r>
    </w:p>
    <w:tbl>
      <w:tblPr>
        <w:tblStyle w:val="1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57"/>
        <w:gridCol w:w="9711"/>
      </w:tblGrid>
      <w:tr w14:paraId="694B9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52DE4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数据值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7AF74CC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</w:p>
        </w:tc>
      </w:tr>
      <w:tr w14:paraId="5A58C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89C8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03400BC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14870</w:t>
            </w:r>
          </w:p>
        </w:tc>
      </w:tr>
      <w:tr w14:paraId="6E395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4DE4DCC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数据项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518B0CF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净购入电力消耗量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bscript"/>
              </w:rPr>
              <w:t>电力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63836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71791B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1594D72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MWh</w:t>
            </w:r>
          </w:p>
        </w:tc>
      </w:tr>
      <w:tr w14:paraId="2ADAC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56941A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数据来源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08448D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电费明细账》</w:t>
            </w:r>
          </w:p>
        </w:tc>
      </w:tr>
      <w:tr w14:paraId="35B3B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39578EE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监测方法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491A4F5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电能表</w:t>
            </w:r>
          </w:p>
        </w:tc>
      </w:tr>
      <w:tr w14:paraId="27D0C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4C7FBF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监测频次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02F9305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实时测量，电力公司每月结算</w:t>
            </w:r>
          </w:p>
        </w:tc>
      </w:tr>
      <w:tr w14:paraId="108E5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057ECB4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记录频次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4467D7E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每月汇总</w:t>
            </w:r>
          </w:p>
        </w:tc>
      </w:tr>
      <w:tr w14:paraId="4F725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4" w:type="pct"/>
            <w:tcBorders>
              <w:tl2br w:val="nil"/>
              <w:tr2bl w:val="nil"/>
            </w:tcBorders>
            <w:noWrap w:val="0"/>
            <w:vAlign w:val="center"/>
          </w:tcPr>
          <w:p w14:paraId="5EE8A17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数据缺失处理</w:t>
            </w:r>
          </w:p>
        </w:tc>
        <w:tc>
          <w:tcPr>
            <w:tcW w:w="3476" w:type="pct"/>
            <w:tcBorders>
              <w:tl2br w:val="nil"/>
              <w:tr2bl w:val="nil"/>
            </w:tcBorders>
            <w:noWrap w:val="0"/>
            <w:vAlign w:val="center"/>
          </w:tcPr>
          <w:p w14:paraId="5D65D3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财务缴款发票和单据</w:t>
            </w:r>
          </w:p>
        </w:tc>
      </w:tr>
    </w:tbl>
    <w:p w14:paraId="18E09AEF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11" w:name="_Toc22505"/>
      <w:r>
        <w:rPr>
          <w:rFonts w:ascii="Times New Roman" w:hAnsi="Times New Roman" w:eastAsia="宋体" w:cs="Times New Roman"/>
          <w:sz w:val="28"/>
          <w:szCs w:val="28"/>
        </w:rPr>
        <w:t>5  排放因子数据及来源说明</w:t>
      </w:r>
      <w:bookmarkEnd w:id="11"/>
    </w:p>
    <w:p w14:paraId="67FD9ECC">
      <w:pPr>
        <w:pStyle w:val="3"/>
        <w:spacing w:before="156" w:beforeLines="50" w:after="156" w:afterLines="50" w:line="360" w:lineRule="auto"/>
        <w:rPr>
          <w:rFonts w:ascii="Times New Roman" w:hAnsi="Times New Roman" w:eastAsia="宋体" w:cs="Times New Roman"/>
          <w:sz w:val="24"/>
          <w:szCs w:val="24"/>
        </w:rPr>
      </w:pPr>
      <w:bookmarkStart w:id="12" w:name="_Toc1678"/>
      <w:r>
        <w:rPr>
          <w:rFonts w:ascii="Times New Roman" w:hAnsi="Times New Roman" w:eastAsia="宋体" w:cs="Times New Roman"/>
          <w:sz w:val="24"/>
          <w:szCs w:val="24"/>
        </w:rPr>
        <w:t>5.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 xml:space="preserve"> 净购入电力排放因子数据及来源</w:t>
      </w:r>
      <w:bookmarkEnd w:id="12"/>
    </w:p>
    <w:p w14:paraId="0EC9AE2A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5-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 xml:space="preserve">  净购入电力排放因子数据及来源表</w:t>
      </w:r>
    </w:p>
    <w:tbl>
      <w:tblPr>
        <w:tblStyle w:val="10"/>
        <w:tblW w:w="500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12242"/>
      </w:tblGrid>
      <w:tr w14:paraId="5A67F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23" w:type="pct"/>
            <w:noWrap w:val="0"/>
            <w:vAlign w:val="center"/>
          </w:tcPr>
          <w:p w14:paraId="33DFB7C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数据值</w:t>
            </w:r>
          </w:p>
        </w:tc>
        <w:tc>
          <w:tcPr>
            <w:tcW w:w="4376" w:type="pct"/>
            <w:noWrap w:val="0"/>
            <w:vAlign w:val="center"/>
          </w:tcPr>
          <w:p w14:paraId="61A2A66E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0.6782</w:t>
            </w:r>
          </w:p>
        </w:tc>
      </w:tr>
      <w:tr w14:paraId="50570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23" w:type="pct"/>
            <w:noWrap w:val="0"/>
            <w:vAlign w:val="center"/>
          </w:tcPr>
          <w:p w14:paraId="063D580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数据项</w:t>
            </w:r>
          </w:p>
        </w:tc>
        <w:tc>
          <w:tcPr>
            <w:tcW w:w="4376" w:type="pct"/>
            <w:noWrap w:val="0"/>
            <w:vAlign w:val="center"/>
          </w:tcPr>
          <w:p w14:paraId="67F20192">
            <w:pPr>
              <w:pStyle w:val="23"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position w:val="1"/>
                <w:sz w:val="24"/>
                <w:szCs w:val="24"/>
              </w:rPr>
              <w:t>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排放因子</w:t>
            </w:r>
          </w:p>
        </w:tc>
      </w:tr>
      <w:tr w14:paraId="593E3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23" w:type="pct"/>
            <w:noWrap w:val="0"/>
            <w:vAlign w:val="center"/>
          </w:tcPr>
          <w:p w14:paraId="11BD215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4376" w:type="pct"/>
            <w:noWrap w:val="0"/>
            <w:vAlign w:val="center"/>
          </w:tcPr>
          <w:p w14:paraId="70D96B1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t CO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/MWh</w:t>
            </w:r>
          </w:p>
        </w:tc>
      </w:tr>
      <w:tr w14:paraId="2B7A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23" w:type="pct"/>
            <w:noWrap w:val="0"/>
            <w:vAlign w:val="center"/>
          </w:tcPr>
          <w:p w14:paraId="5C819AA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数据来源</w:t>
            </w:r>
          </w:p>
        </w:tc>
        <w:tc>
          <w:tcPr>
            <w:tcW w:w="4376" w:type="pct"/>
            <w:noWrap w:val="0"/>
            <w:vAlign w:val="center"/>
          </w:tcPr>
          <w:p w14:paraId="14C1929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中华人民共和国生态环境部</w:t>
            </w:r>
          </w:p>
        </w:tc>
      </w:tr>
    </w:tbl>
    <w:p w14:paraId="0AF24248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29146E75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2AD2717D">
      <w:pPr>
        <w:pStyle w:val="2"/>
        <w:spacing w:before="240" w:after="240" w:line="360" w:lineRule="auto"/>
        <w:rPr>
          <w:rFonts w:ascii="Times New Roman" w:hAnsi="Times New Roman" w:eastAsia="宋体" w:cs="Times New Roman"/>
          <w:sz w:val="28"/>
          <w:szCs w:val="28"/>
        </w:rPr>
      </w:pPr>
      <w:bookmarkStart w:id="13" w:name="_Toc11440"/>
      <w:r>
        <w:rPr>
          <w:rFonts w:ascii="Times New Roman" w:hAnsi="Times New Roman" w:eastAsia="宋体" w:cs="Times New Roman"/>
          <w:sz w:val="28"/>
          <w:szCs w:val="28"/>
        </w:rPr>
        <w:t>6真实性声明</w:t>
      </w:r>
      <w:bookmarkEnd w:id="13"/>
    </w:p>
    <w:p w14:paraId="3C16D1D0">
      <w:pPr>
        <w:spacing w:line="360" w:lineRule="auto"/>
        <w:ind w:firstLine="600" w:firstLineChars="200"/>
        <w:rPr>
          <w:rFonts w:ascii="Times New Roman" w:hAnsi="Times New Roman" w:eastAsia="宋体" w:cs="Times New Roman"/>
          <w:sz w:val="30"/>
          <w:szCs w:val="30"/>
        </w:rPr>
      </w:pPr>
      <w:r>
        <w:rPr>
          <w:rFonts w:ascii="Times New Roman" w:hAnsi="Times New Roman" w:eastAsia="宋体" w:cs="Times New Roman"/>
          <w:sz w:val="30"/>
          <w:szCs w:val="30"/>
        </w:rPr>
        <w:t>本报告真实、可靠。如报告中的信息与实际情况不符，报告主体愿负相应的法律责任，并承担由此产生的一切后果。特此声明。</w:t>
      </w:r>
    </w:p>
    <w:p w14:paraId="0F1AB4F7">
      <w:pPr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 w14:paraId="4E736E4F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76444FD5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0CC3C267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29DB2DF3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0B84658B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656B62BD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2DBEB6B9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16D0DB5E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270E0E1F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29DA4818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68051DDB"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5341D3A0">
      <w:pPr>
        <w:spacing w:line="360" w:lineRule="auto"/>
        <w:ind w:firstLine="600" w:firstLineChars="200"/>
        <w:jc w:val="left"/>
        <w:rPr>
          <w:rFonts w:ascii="Times New Roman" w:hAnsi="Times New Roman" w:eastAsia="宋体" w:cs="Times New Roman"/>
          <w:sz w:val="30"/>
          <w:szCs w:val="30"/>
        </w:rPr>
      </w:pPr>
    </w:p>
    <w:p w14:paraId="66BF1434">
      <w:pPr>
        <w:wordWrap w:val="0"/>
        <w:spacing w:line="360" w:lineRule="auto"/>
        <w:ind w:firstLine="600" w:firstLineChars="200"/>
        <w:jc w:val="right"/>
        <w:rPr>
          <w:rFonts w:ascii="Times New Roman" w:hAnsi="Times New Roman" w:eastAsia="宋体" w:cs="Times New Roman"/>
          <w:sz w:val="30"/>
          <w:szCs w:val="30"/>
        </w:rPr>
      </w:pPr>
    </w:p>
    <w:p w14:paraId="24B38338">
      <w:pPr>
        <w:wordWrap w:val="0"/>
        <w:spacing w:line="360" w:lineRule="auto"/>
        <w:ind w:firstLine="600" w:firstLineChars="200"/>
        <w:jc w:val="right"/>
        <w:rPr>
          <w:rFonts w:ascii="Times New Roman" w:hAnsi="Times New Roman" w:eastAsia="宋体" w:cs="Times New Roman"/>
          <w:sz w:val="30"/>
          <w:szCs w:val="30"/>
        </w:rPr>
      </w:pPr>
      <w:r>
        <w:rPr>
          <w:rFonts w:ascii="Times New Roman" w:hAnsi="Times New Roman" w:eastAsia="宋体" w:cs="Times New Roman"/>
          <w:sz w:val="30"/>
          <w:szCs w:val="30"/>
        </w:rPr>
        <w:t>企业（企业公章）</w:t>
      </w:r>
    </w:p>
    <w:p w14:paraId="53C09CA1">
      <w:pPr>
        <w:wordWrap w:val="0"/>
        <w:spacing w:line="360" w:lineRule="auto"/>
        <w:ind w:firstLine="600" w:firstLineChars="200"/>
        <w:jc w:val="right"/>
        <w:rPr>
          <w:rFonts w:ascii="Times New Roman" w:hAnsi="Times New Roman" w:eastAsia="宋体" w:cs="Times New Roman"/>
          <w:sz w:val="30"/>
          <w:szCs w:val="30"/>
        </w:rPr>
      </w:pPr>
      <w:r>
        <w:rPr>
          <w:rFonts w:ascii="Times New Roman" w:hAnsi="Times New Roman" w:eastAsia="宋体" w:cs="Times New Roman"/>
          <w:sz w:val="30"/>
          <w:szCs w:val="30"/>
        </w:rPr>
        <w:t>年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30"/>
          <w:szCs w:val="30"/>
        </w:rPr>
        <w:t>月</w:t>
      </w: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30"/>
          <w:szCs w:val="30"/>
        </w:rPr>
        <w:t>日</w:t>
      </w:r>
    </w:p>
    <w:p w14:paraId="2AE33ECB">
      <w:pPr>
        <w:spacing w:line="360" w:lineRule="auto"/>
        <w:ind w:firstLine="600" w:firstLineChars="200"/>
        <w:jc w:val="right"/>
        <w:rPr>
          <w:rFonts w:ascii="Times New Roman" w:hAnsi="Times New Roman" w:eastAsia="宋体" w:cs="Times New Roman"/>
          <w:sz w:val="30"/>
          <w:szCs w:val="30"/>
        </w:rPr>
      </w:pPr>
    </w:p>
    <w:p w14:paraId="247089AD">
      <w:pPr>
        <w:spacing w:line="360" w:lineRule="auto"/>
        <w:ind w:firstLine="600" w:firstLineChars="200"/>
        <w:jc w:val="right"/>
        <w:rPr>
          <w:rFonts w:ascii="Times New Roman" w:hAnsi="Times New Roman" w:eastAsia="宋体" w:cs="Times New Roman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39B5673"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表A.1  报告主体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  <w:t>202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  <w:t>年</w:t>
      </w:r>
      <w:r>
        <w:rPr>
          <w:rFonts w:ascii="Times New Roman" w:hAnsi="Times New Roman" w:eastAsia="宋体" w:cs="Times New Roman"/>
          <w:sz w:val="24"/>
          <w:szCs w:val="24"/>
        </w:rPr>
        <w:t>温室气体排放量报告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2268"/>
        <w:gridCol w:w="2205"/>
      </w:tblGrid>
      <w:tr w14:paraId="7228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23" w:type="dxa"/>
            <w:noWrap w:val="0"/>
            <w:vAlign w:val="top"/>
          </w:tcPr>
          <w:p w14:paraId="5142047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排放源的类别</w:t>
            </w:r>
          </w:p>
        </w:tc>
        <w:tc>
          <w:tcPr>
            <w:tcW w:w="2268" w:type="dxa"/>
            <w:noWrap w:val="0"/>
            <w:vAlign w:val="top"/>
          </w:tcPr>
          <w:p w14:paraId="4B60AF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温室气体本身质量</w:t>
            </w:r>
          </w:p>
          <w:p w14:paraId="2DB319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（单位：t）</w:t>
            </w:r>
          </w:p>
        </w:tc>
        <w:tc>
          <w:tcPr>
            <w:tcW w:w="2205" w:type="dxa"/>
            <w:noWrap w:val="0"/>
            <w:vAlign w:val="top"/>
          </w:tcPr>
          <w:p w14:paraId="66F1A3DA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温室气体CO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当量</w:t>
            </w:r>
          </w:p>
          <w:p w14:paraId="6ACE0694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（单位：tCO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</w:tr>
      <w:tr w14:paraId="4120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noWrap w:val="0"/>
            <w:vAlign w:val="top"/>
          </w:tcPr>
          <w:p w14:paraId="7A7A3A95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净购入电力产生的CO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</w:t>
            </w:r>
          </w:p>
        </w:tc>
        <w:tc>
          <w:tcPr>
            <w:tcW w:w="2268" w:type="dxa"/>
            <w:noWrap w:val="0"/>
            <w:vAlign w:val="top"/>
          </w:tcPr>
          <w:p w14:paraId="2CB502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  <w:tc>
          <w:tcPr>
            <w:tcW w:w="2205" w:type="dxa"/>
            <w:noWrap w:val="0"/>
            <w:vAlign w:val="top"/>
          </w:tcPr>
          <w:p w14:paraId="0922F9B9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10084.83</w:t>
            </w:r>
          </w:p>
        </w:tc>
      </w:tr>
      <w:tr w14:paraId="2EFF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1" w:type="dxa"/>
            <w:gridSpan w:val="2"/>
            <w:noWrap w:val="0"/>
            <w:vAlign w:val="top"/>
          </w:tcPr>
          <w:p w14:paraId="0C519B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企业温室气体排放总量（tCO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2e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205" w:type="dxa"/>
            <w:noWrap w:val="0"/>
            <w:vAlign w:val="top"/>
          </w:tcPr>
          <w:p w14:paraId="0655F66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543446.75 </w:t>
            </w:r>
          </w:p>
        </w:tc>
      </w:tr>
    </w:tbl>
    <w:p w14:paraId="28958C3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0DE5D8E3"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表A.2  活动数据表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1900"/>
        <w:gridCol w:w="1902"/>
        <w:gridCol w:w="2041"/>
      </w:tblGrid>
      <w:tr w14:paraId="4F66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70" w:type="pct"/>
            <w:noWrap w:val="0"/>
            <w:vAlign w:val="center"/>
          </w:tcPr>
          <w:p w14:paraId="6087AD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排放源类别</w:t>
            </w:r>
          </w:p>
        </w:tc>
        <w:tc>
          <w:tcPr>
            <w:tcW w:w="1115" w:type="pct"/>
            <w:noWrap w:val="0"/>
            <w:vAlign w:val="center"/>
          </w:tcPr>
          <w:p w14:paraId="156CCEC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燃料种类</w:t>
            </w:r>
          </w:p>
        </w:tc>
        <w:tc>
          <w:tcPr>
            <w:tcW w:w="1116" w:type="pct"/>
            <w:noWrap w:val="0"/>
            <w:vAlign w:val="center"/>
          </w:tcPr>
          <w:p w14:paraId="5EA8925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计量单位</w:t>
            </w:r>
          </w:p>
        </w:tc>
        <w:tc>
          <w:tcPr>
            <w:tcW w:w="1197" w:type="pct"/>
            <w:noWrap w:val="0"/>
            <w:vAlign w:val="center"/>
          </w:tcPr>
          <w:p w14:paraId="1423616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消耗量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GJ</w:t>
            </w:r>
          </w:p>
        </w:tc>
      </w:tr>
      <w:tr w14:paraId="3C99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pct"/>
            <w:noWrap w:val="0"/>
            <w:vAlign w:val="center"/>
          </w:tcPr>
          <w:p w14:paraId="3C7FAE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排放源类别</w:t>
            </w:r>
          </w:p>
        </w:tc>
        <w:tc>
          <w:tcPr>
            <w:tcW w:w="1115" w:type="pct"/>
            <w:noWrap w:val="0"/>
            <w:vAlign w:val="center"/>
          </w:tcPr>
          <w:p w14:paraId="485C0B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燃料种类</w:t>
            </w:r>
          </w:p>
        </w:tc>
        <w:tc>
          <w:tcPr>
            <w:tcW w:w="1116" w:type="pct"/>
            <w:noWrap w:val="0"/>
            <w:vAlign w:val="center"/>
          </w:tcPr>
          <w:p w14:paraId="1FEAA7C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数据</w:t>
            </w:r>
          </w:p>
        </w:tc>
        <w:tc>
          <w:tcPr>
            <w:tcW w:w="1197" w:type="pct"/>
            <w:noWrap w:val="0"/>
            <w:vAlign w:val="center"/>
          </w:tcPr>
          <w:p w14:paraId="1A7ACE0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单位</w:t>
            </w:r>
          </w:p>
        </w:tc>
      </w:tr>
      <w:tr w14:paraId="49A17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0" w:type="pct"/>
            <w:noWrap w:val="0"/>
            <w:vAlign w:val="center"/>
          </w:tcPr>
          <w:p w14:paraId="0F7F6D9D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电力</w:t>
            </w:r>
          </w:p>
        </w:tc>
        <w:tc>
          <w:tcPr>
            <w:tcW w:w="1115" w:type="pct"/>
            <w:noWrap w:val="0"/>
            <w:vAlign w:val="center"/>
          </w:tcPr>
          <w:p w14:paraId="5372E1DB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购入的电力</w:t>
            </w:r>
          </w:p>
        </w:tc>
        <w:tc>
          <w:tcPr>
            <w:tcW w:w="1116" w:type="pct"/>
            <w:noWrap w:val="0"/>
            <w:vAlign w:val="center"/>
          </w:tcPr>
          <w:p w14:paraId="39257B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10084.83 </w:t>
            </w:r>
          </w:p>
        </w:tc>
        <w:tc>
          <w:tcPr>
            <w:tcW w:w="1197" w:type="pct"/>
            <w:noWrap w:val="0"/>
            <w:vAlign w:val="center"/>
          </w:tcPr>
          <w:p w14:paraId="3618B70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MWh</w:t>
            </w:r>
          </w:p>
        </w:tc>
      </w:tr>
    </w:tbl>
    <w:p w14:paraId="715D6B6E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5C3328EF"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表A.3  排放因子和计算系数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2773"/>
        <w:gridCol w:w="2205"/>
      </w:tblGrid>
      <w:tr w14:paraId="4F83D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noWrap w:val="0"/>
            <w:vAlign w:val="center"/>
          </w:tcPr>
          <w:p w14:paraId="5C356D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排放源类别</w:t>
            </w:r>
          </w:p>
        </w:tc>
        <w:tc>
          <w:tcPr>
            <w:tcW w:w="1659" w:type="dxa"/>
            <w:noWrap w:val="0"/>
            <w:vAlign w:val="center"/>
          </w:tcPr>
          <w:p w14:paraId="27866E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燃料种类</w:t>
            </w:r>
          </w:p>
        </w:tc>
        <w:tc>
          <w:tcPr>
            <w:tcW w:w="2773" w:type="dxa"/>
            <w:noWrap w:val="0"/>
            <w:vAlign w:val="center"/>
          </w:tcPr>
          <w:p w14:paraId="20AB9C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数据</w:t>
            </w:r>
          </w:p>
        </w:tc>
        <w:tc>
          <w:tcPr>
            <w:tcW w:w="2205" w:type="dxa"/>
            <w:noWrap w:val="0"/>
            <w:vAlign w:val="center"/>
          </w:tcPr>
          <w:p w14:paraId="795FE85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</w:tr>
      <w:tr w14:paraId="0344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noWrap w:val="0"/>
            <w:vAlign w:val="center"/>
          </w:tcPr>
          <w:p w14:paraId="3C3EAD9D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电力、热力</w:t>
            </w:r>
          </w:p>
        </w:tc>
        <w:tc>
          <w:tcPr>
            <w:tcW w:w="1659" w:type="dxa"/>
            <w:noWrap w:val="0"/>
            <w:vAlign w:val="center"/>
          </w:tcPr>
          <w:p w14:paraId="11B93E31"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购入的电力</w:t>
            </w:r>
          </w:p>
        </w:tc>
        <w:tc>
          <w:tcPr>
            <w:tcW w:w="2773" w:type="dxa"/>
            <w:noWrap w:val="0"/>
            <w:vAlign w:val="center"/>
          </w:tcPr>
          <w:p w14:paraId="61AA55F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0.6782</w:t>
            </w:r>
          </w:p>
        </w:tc>
        <w:tc>
          <w:tcPr>
            <w:tcW w:w="2205" w:type="dxa"/>
            <w:noWrap w:val="0"/>
            <w:vAlign w:val="center"/>
          </w:tcPr>
          <w:p w14:paraId="462D1B9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tCO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/MWh</w:t>
            </w:r>
          </w:p>
        </w:tc>
      </w:tr>
    </w:tbl>
    <w:p w14:paraId="1AB2E100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6C85CF55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4E223A78">
      <w:pPr>
        <w:spacing w:line="360" w:lineRule="auto"/>
        <w:rPr>
          <w:rFonts w:ascii="Times New Roman" w:hAnsi="Times New Roman" w:eastAsia="宋体" w:cs="Times New Roman"/>
          <w:color w:val="0070C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04430">
    <w:pPr>
      <w:pStyle w:val="6"/>
      <w:jc w:val="center"/>
    </w:pPr>
  </w:p>
  <w:p w14:paraId="1746AC6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0D717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20</w:t>
    </w:r>
    <w:r>
      <w:rPr>
        <w:lang w:val="zh-CN"/>
      </w:rPr>
      <w:fldChar w:fldCharType="end"/>
    </w:r>
  </w:p>
  <w:p w14:paraId="198853A8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C4BD5">
    <w:pPr>
      <w:pStyle w:val="7"/>
    </w:pPr>
    <w:r>
      <w:rPr>
        <w:rFonts w:hint="eastAsia"/>
      </w:rPr>
      <w:t>目 录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62391">
    <w:pPr>
      <w:pStyle w:val="7"/>
      <w:rPr>
        <w:rFonts w:ascii="宋体" w:hAnsi="宋体" w:eastAsia="宋体"/>
      </w:rPr>
    </w:pPr>
    <w:r>
      <w:rPr>
        <w:rFonts w:hint="eastAsia" w:ascii="宋体" w:hAnsi="宋体" w:eastAsia="宋体"/>
        <w:lang w:eastAsia="zh-CN"/>
      </w:rPr>
      <w:t>马鞍山恒精新能源科技有限公司202</w:t>
    </w:r>
    <w:r>
      <w:rPr>
        <w:rFonts w:hint="eastAsia" w:ascii="宋体" w:hAnsi="宋体" w:eastAsia="宋体"/>
        <w:lang w:val="en-US" w:eastAsia="zh-CN"/>
      </w:rPr>
      <w:t>3</w:t>
    </w:r>
    <w:r>
      <w:rPr>
        <w:rFonts w:hint="eastAsia" w:ascii="宋体" w:hAnsi="宋体" w:eastAsia="宋体"/>
        <w:lang w:eastAsia="zh-CN"/>
      </w:rPr>
      <w:t>年</w:t>
    </w:r>
    <w:r>
      <w:rPr>
        <w:rFonts w:hint="eastAsia" w:ascii="宋体" w:hAnsi="宋体" w:eastAsia="宋体"/>
      </w:rPr>
      <w:t>温室气体排放报告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MGQzODBmMTgzODgyN2QyMGZjMjI4MTBiOWMxYTcifQ=="/>
  </w:docVars>
  <w:rsids>
    <w:rsidRoot w:val="00172A27"/>
    <w:rsid w:val="0000060F"/>
    <w:rsid w:val="00030294"/>
    <w:rsid w:val="000315D6"/>
    <w:rsid w:val="00032A0A"/>
    <w:rsid w:val="000351A8"/>
    <w:rsid w:val="00036EAF"/>
    <w:rsid w:val="00042CAE"/>
    <w:rsid w:val="00055927"/>
    <w:rsid w:val="00056799"/>
    <w:rsid w:val="00061994"/>
    <w:rsid w:val="0007164D"/>
    <w:rsid w:val="00076E94"/>
    <w:rsid w:val="0008091F"/>
    <w:rsid w:val="000850E0"/>
    <w:rsid w:val="000878A7"/>
    <w:rsid w:val="00091575"/>
    <w:rsid w:val="00091E26"/>
    <w:rsid w:val="00094EF4"/>
    <w:rsid w:val="000954C0"/>
    <w:rsid w:val="000C42DC"/>
    <w:rsid w:val="000D6A2C"/>
    <w:rsid w:val="000F7BA3"/>
    <w:rsid w:val="0010512A"/>
    <w:rsid w:val="00122DDB"/>
    <w:rsid w:val="001256D4"/>
    <w:rsid w:val="0013424B"/>
    <w:rsid w:val="001676B1"/>
    <w:rsid w:val="00173EDF"/>
    <w:rsid w:val="001821B9"/>
    <w:rsid w:val="00184E05"/>
    <w:rsid w:val="0019348B"/>
    <w:rsid w:val="001A1447"/>
    <w:rsid w:val="001B18B0"/>
    <w:rsid w:val="001B632D"/>
    <w:rsid w:val="001C07E0"/>
    <w:rsid w:val="001C3612"/>
    <w:rsid w:val="001E7760"/>
    <w:rsid w:val="001E788D"/>
    <w:rsid w:val="0020177D"/>
    <w:rsid w:val="00211CD8"/>
    <w:rsid w:val="00221952"/>
    <w:rsid w:val="00224ABC"/>
    <w:rsid w:val="00232EBD"/>
    <w:rsid w:val="002359BB"/>
    <w:rsid w:val="002374B6"/>
    <w:rsid w:val="00246883"/>
    <w:rsid w:val="002546C3"/>
    <w:rsid w:val="002571FF"/>
    <w:rsid w:val="00264F14"/>
    <w:rsid w:val="00282F91"/>
    <w:rsid w:val="002847C6"/>
    <w:rsid w:val="002872A4"/>
    <w:rsid w:val="00294511"/>
    <w:rsid w:val="00294A22"/>
    <w:rsid w:val="002979E5"/>
    <w:rsid w:val="002A015E"/>
    <w:rsid w:val="002A33C7"/>
    <w:rsid w:val="002B35AE"/>
    <w:rsid w:val="002B5F96"/>
    <w:rsid w:val="002C713C"/>
    <w:rsid w:val="002D23B3"/>
    <w:rsid w:val="002E07F0"/>
    <w:rsid w:val="002F39AB"/>
    <w:rsid w:val="00302E1A"/>
    <w:rsid w:val="00305526"/>
    <w:rsid w:val="00305A93"/>
    <w:rsid w:val="00306006"/>
    <w:rsid w:val="00307D39"/>
    <w:rsid w:val="00321787"/>
    <w:rsid w:val="00321C64"/>
    <w:rsid w:val="0032533E"/>
    <w:rsid w:val="003260C2"/>
    <w:rsid w:val="0032645D"/>
    <w:rsid w:val="003278DD"/>
    <w:rsid w:val="00333665"/>
    <w:rsid w:val="00342219"/>
    <w:rsid w:val="00352DB5"/>
    <w:rsid w:val="00360934"/>
    <w:rsid w:val="00370710"/>
    <w:rsid w:val="003976DA"/>
    <w:rsid w:val="003A518C"/>
    <w:rsid w:val="003A7CF4"/>
    <w:rsid w:val="003B588A"/>
    <w:rsid w:val="003B679D"/>
    <w:rsid w:val="003D0DDF"/>
    <w:rsid w:val="003D7733"/>
    <w:rsid w:val="003E6116"/>
    <w:rsid w:val="004050FA"/>
    <w:rsid w:val="0040769A"/>
    <w:rsid w:val="0041237C"/>
    <w:rsid w:val="00412FD9"/>
    <w:rsid w:val="004152EF"/>
    <w:rsid w:val="00420E98"/>
    <w:rsid w:val="00427871"/>
    <w:rsid w:val="00430EE4"/>
    <w:rsid w:val="004330AE"/>
    <w:rsid w:val="004510B2"/>
    <w:rsid w:val="00471946"/>
    <w:rsid w:val="00471CAD"/>
    <w:rsid w:val="0047228D"/>
    <w:rsid w:val="004758B5"/>
    <w:rsid w:val="0049183C"/>
    <w:rsid w:val="00494CFE"/>
    <w:rsid w:val="0049754C"/>
    <w:rsid w:val="004A2E6E"/>
    <w:rsid w:val="004C20BC"/>
    <w:rsid w:val="004C4475"/>
    <w:rsid w:val="004D05E1"/>
    <w:rsid w:val="004D1550"/>
    <w:rsid w:val="004D4A1B"/>
    <w:rsid w:val="004E24D5"/>
    <w:rsid w:val="00506C08"/>
    <w:rsid w:val="0051361D"/>
    <w:rsid w:val="00514321"/>
    <w:rsid w:val="005154D5"/>
    <w:rsid w:val="005307B7"/>
    <w:rsid w:val="005313F8"/>
    <w:rsid w:val="00532C14"/>
    <w:rsid w:val="00533399"/>
    <w:rsid w:val="0054780B"/>
    <w:rsid w:val="00550D07"/>
    <w:rsid w:val="00552BA0"/>
    <w:rsid w:val="00557FFB"/>
    <w:rsid w:val="00571B55"/>
    <w:rsid w:val="0057512C"/>
    <w:rsid w:val="00582E09"/>
    <w:rsid w:val="00586A6E"/>
    <w:rsid w:val="00586F5C"/>
    <w:rsid w:val="005879E8"/>
    <w:rsid w:val="00587BFE"/>
    <w:rsid w:val="005954C5"/>
    <w:rsid w:val="005A7E37"/>
    <w:rsid w:val="005B6AB1"/>
    <w:rsid w:val="005C36DC"/>
    <w:rsid w:val="005C6431"/>
    <w:rsid w:val="005D0D07"/>
    <w:rsid w:val="005D74DC"/>
    <w:rsid w:val="005F6DD1"/>
    <w:rsid w:val="005F71DD"/>
    <w:rsid w:val="005F73EA"/>
    <w:rsid w:val="0060153C"/>
    <w:rsid w:val="00604BA2"/>
    <w:rsid w:val="00611007"/>
    <w:rsid w:val="0061302C"/>
    <w:rsid w:val="00625FFE"/>
    <w:rsid w:val="00627B9E"/>
    <w:rsid w:val="00633D3C"/>
    <w:rsid w:val="00643847"/>
    <w:rsid w:val="0064389C"/>
    <w:rsid w:val="00654A7D"/>
    <w:rsid w:val="00666EBF"/>
    <w:rsid w:val="006737F5"/>
    <w:rsid w:val="00675623"/>
    <w:rsid w:val="00694FE6"/>
    <w:rsid w:val="0069633E"/>
    <w:rsid w:val="006A073F"/>
    <w:rsid w:val="006A4C9D"/>
    <w:rsid w:val="006B4F16"/>
    <w:rsid w:val="006C1522"/>
    <w:rsid w:val="006E4778"/>
    <w:rsid w:val="006E57F2"/>
    <w:rsid w:val="006F4F7B"/>
    <w:rsid w:val="00712129"/>
    <w:rsid w:val="00723247"/>
    <w:rsid w:val="00726CD0"/>
    <w:rsid w:val="0073128A"/>
    <w:rsid w:val="007650A9"/>
    <w:rsid w:val="0077195E"/>
    <w:rsid w:val="007755B8"/>
    <w:rsid w:val="00780A74"/>
    <w:rsid w:val="00782DC6"/>
    <w:rsid w:val="00785CA1"/>
    <w:rsid w:val="00787CEE"/>
    <w:rsid w:val="00793AEA"/>
    <w:rsid w:val="007B6574"/>
    <w:rsid w:val="007C2042"/>
    <w:rsid w:val="007E7A64"/>
    <w:rsid w:val="008014E5"/>
    <w:rsid w:val="00811C36"/>
    <w:rsid w:val="00820282"/>
    <w:rsid w:val="008205F8"/>
    <w:rsid w:val="008263B5"/>
    <w:rsid w:val="008277A4"/>
    <w:rsid w:val="008407E4"/>
    <w:rsid w:val="00852C97"/>
    <w:rsid w:val="008542E6"/>
    <w:rsid w:val="00862BDB"/>
    <w:rsid w:val="00866BFE"/>
    <w:rsid w:val="0088389C"/>
    <w:rsid w:val="008926D0"/>
    <w:rsid w:val="008927DA"/>
    <w:rsid w:val="008B6DBD"/>
    <w:rsid w:val="008B735F"/>
    <w:rsid w:val="008C3B38"/>
    <w:rsid w:val="008C6F4C"/>
    <w:rsid w:val="008E5C7F"/>
    <w:rsid w:val="009015C3"/>
    <w:rsid w:val="009117DF"/>
    <w:rsid w:val="0091239F"/>
    <w:rsid w:val="00923499"/>
    <w:rsid w:val="0093365F"/>
    <w:rsid w:val="009339A2"/>
    <w:rsid w:val="00934D18"/>
    <w:rsid w:val="00941691"/>
    <w:rsid w:val="00947962"/>
    <w:rsid w:val="0095451B"/>
    <w:rsid w:val="00954DA6"/>
    <w:rsid w:val="00955236"/>
    <w:rsid w:val="0095584D"/>
    <w:rsid w:val="009574A9"/>
    <w:rsid w:val="0097329E"/>
    <w:rsid w:val="00995B0E"/>
    <w:rsid w:val="009B79DD"/>
    <w:rsid w:val="009C5CFB"/>
    <w:rsid w:val="009D05A7"/>
    <w:rsid w:val="009D1F2A"/>
    <w:rsid w:val="009D5AA8"/>
    <w:rsid w:val="009F6D93"/>
    <w:rsid w:val="00A007B7"/>
    <w:rsid w:val="00A03332"/>
    <w:rsid w:val="00A0564A"/>
    <w:rsid w:val="00A06394"/>
    <w:rsid w:val="00A11A1C"/>
    <w:rsid w:val="00A11B41"/>
    <w:rsid w:val="00A328C8"/>
    <w:rsid w:val="00A3600A"/>
    <w:rsid w:val="00A43E7A"/>
    <w:rsid w:val="00A62105"/>
    <w:rsid w:val="00A62769"/>
    <w:rsid w:val="00A734B0"/>
    <w:rsid w:val="00A73997"/>
    <w:rsid w:val="00A8574C"/>
    <w:rsid w:val="00AA188B"/>
    <w:rsid w:val="00AA6698"/>
    <w:rsid w:val="00AB38D5"/>
    <w:rsid w:val="00AD42AD"/>
    <w:rsid w:val="00B02E16"/>
    <w:rsid w:val="00B03A1E"/>
    <w:rsid w:val="00B16295"/>
    <w:rsid w:val="00B207EF"/>
    <w:rsid w:val="00B24B7D"/>
    <w:rsid w:val="00B313A3"/>
    <w:rsid w:val="00B363E9"/>
    <w:rsid w:val="00B4321F"/>
    <w:rsid w:val="00B47F0B"/>
    <w:rsid w:val="00B50E92"/>
    <w:rsid w:val="00B5666A"/>
    <w:rsid w:val="00B610A3"/>
    <w:rsid w:val="00B669C9"/>
    <w:rsid w:val="00B66D91"/>
    <w:rsid w:val="00B679A4"/>
    <w:rsid w:val="00B7743E"/>
    <w:rsid w:val="00B81767"/>
    <w:rsid w:val="00B82220"/>
    <w:rsid w:val="00B90FD5"/>
    <w:rsid w:val="00BA13FC"/>
    <w:rsid w:val="00BB7B07"/>
    <w:rsid w:val="00BD35D2"/>
    <w:rsid w:val="00BD65A9"/>
    <w:rsid w:val="00BE6008"/>
    <w:rsid w:val="00C01800"/>
    <w:rsid w:val="00C02B5F"/>
    <w:rsid w:val="00C044F2"/>
    <w:rsid w:val="00C06E8C"/>
    <w:rsid w:val="00C13D9F"/>
    <w:rsid w:val="00C148CE"/>
    <w:rsid w:val="00C3143E"/>
    <w:rsid w:val="00C4090F"/>
    <w:rsid w:val="00C50436"/>
    <w:rsid w:val="00C50D24"/>
    <w:rsid w:val="00C551C4"/>
    <w:rsid w:val="00C777D2"/>
    <w:rsid w:val="00C877D1"/>
    <w:rsid w:val="00CA1215"/>
    <w:rsid w:val="00CA5071"/>
    <w:rsid w:val="00CA5BDB"/>
    <w:rsid w:val="00CB25EE"/>
    <w:rsid w:val="00CB53E4"/>
    <w:rsid w:val="00CD140A"/>
    <w:rsid w:val="00CD681D"/>
    <w:rsid w:val="00CE42BE"/>
    <w:rsid w:val="00CF1A34"/>
    <w:rsid w:val="00D0256F"/>
    <w:rsid w:val="00D04019"/>
    <w:rsid w:val="00D0602D"/>
    <w:rsid w:val="00D1174F"/>
    <w:rsid w:val="00D141BC"/>
    <w:rsid w:val="00D1763C"/>
    <w:rsid w:val="00D2617E"/>
    <w:rsid w:val="00D34CBA"/>
    <w:rsid w:val="00D36E0D"/>
    <w:rsid w:val="00D52CE1"/>
    <w:rsid w:val="00D726B1"/>
    <w:rsid w:val="00D7358C"/>
    <w:rsid w:val="00D837BF"/>
    <w:rsid w:val="00D90FFB"/>
    <w:rsid w:val="00D95553"/>
    <w:rsid w:val="00D96463"/>
    <w:rsid w:val="00DD75D8"/>
    <w:rsid w:val="00DE6868"/>
    <w:rsid w:val="00E038F8"/>
    <w:rsid w:val="00E2183F"/>
    <w:rsid w:val="00E31B31"/>
    <w:rsid w:val="00E55879"/>
    <w:rsid w:val="00E558ED"/>
    <w:rsid w:val="00E7113B"/>
    <w:rsid w:val="00E73B2A"/>
    <w:rsid w:val="00E93DC4"/>
    <w:rsid w:val="00EB14A1"/>
    <w:rsid w:val="00EB2BE2"/>
    <w:rsid w:val="00EC0E0C"/>
    <w:rsid w:val="00EC3E75"/>
    <w:rsid w:val="00EC5910"/>
    <w:rsid w:val="00ED6B59"/>
    <w:rsid w:val="00ED78FB"/>
    <w:rsid w:val="00EE7E24"/>
    <w:rsid w:val="00EF0CDE"/>
    <w:rsid w:val="00F005BE"/>
    <w:rsid w:val="00F13D0C"/>
    <w:rsid w:val="00F27A89"/>
    <w:rsid w:val="00F5089E"/>
    <w:rsid w:val="00F5209D"/>
    <w:rsid w:val="00F5591C"/>
    <w:rsid w:val="00F57F6E"/>
    <w:rsid w:val="00F70BE4"/>
    <w:rsid w:val="00F70F79"/>
    <w:rsid w:val="00F758D2"/>
    <w:rsid w:val="00F83239"/>
    <w:rsid w:val="00F9633F"/>
    <w:rsid w:val="00FB4A89"/>
    <w:rsid w:val="00FC2603"/>
    <w:rsid w:val="00FC793E"/>
    <w:rsid w:val="00FE4CCF"/>
    <w:rsid w:val="01170C55"/>
    <w:rsid w:val="056C402C"/>
    <w:rsid w:val="0EA31D7A"/>
    <w:rsid w:val="104E29C3"/>
    <w:rsid w:val="11FA2D26"/>
    <w:rsid w:val="17656C96"/>
    <w:rsid w:val="1C744D56"/>
    <w:rsid w:val="1E25455A"/>
    <w:rsid w:val="28D87377"/>
    <w:rsid w:val="2DE31BB0"/>
    <w:rsid w:val="2F415C36"/>
    <w:rsid w:val="301E7FBC"/>
    <w:rsid w:val="36F062EE"/>
    <w:rsid w:val="37CB7AC8"/>
    <w:rsid w:val="3B4F206F"/>
    <w:rsid w:val="3CF43717"/>
    <w:rsid w:val="409742AB"/>
    <w:rsid w:val="416C5E78"/>
    <w:rsid w:val="41E83E3A"/>
    <w:rsid w:val="45015CEA"/>
    <w:rsid w:val="48632D91"/>
    <w:rsid w:val="488161B7"/>
    <w:rsid w:val="4B05734C"/>
    <w:rsid w:val="4B6A2327"/>
    <w:rsid w:val="4B7D6ED4"/>
    <w:rsid w:val="4CB8509C"/>
    <w:rsid w:val="4EF9233D"/>
    <w:rsid w:val="4EFC1FEB"/>
    <w:rsid w:val="4FC13833"/>
    <w:rsid w:val="4FC91E8B"/>
    <w:rsid w:val="52A01BF6"/>
    <w:rsid w:val="54A76A28"/>
    <w:rsid w:val="553A6978"/>
    <w:rsid w:val="55911B3E"/>
    <w:rsid w:val="579C721C"/>
    <w:rsid w:val="58A6002D"/>
    <w:rsid w:val="59C5394B"/>
    <w:rsid w:val="5AD96807"/>
    <w:rsid w:val="5C904F91"/>
    <w:rsid w:val="5CB116B4"/>
    <w:rsid w:val="5FBA305E"/>
    <w:rsid w:val="62055A75"/>
    <w:rsid w:val="65E81E1B"/>
    <w:rsid w:val="661A3E9A"/>
    <w:rsid w:val="66274189"/>
    <w:rsid w:val="69666807"/>
    <w:rsid w:val="698F60A7"/>
    <w:rsid w:val="6C90660F"/>
    <w:rsid w:val="6D5D63A1"/>
    <w:rsid w:val="70674258"/>
    <w:rsid w:val="74E4574A"/>
    <w:rsid w:val="74EF14C2"/>
    <w:rsid w:val="75561137"/>
    <w:rsid w:val="75D06632"/>
    <w:rsid w:val="75EF01BB"/>
    <w:rsid w:val="75F44D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widowControl w:val="0"/>
      <w:adjustRightInd/>
      <w:snapToGrid/>
      <w:jc w:val="left"/>
    </w:pPr>
    <w:rPr>
      <w:b/>
      <w:kern w:val="2"/>
      <w:sz w:val="28"/>
      <w:szCs w:val="24"/>
      <w:lang w:eastAsia="zh-CN" w:bidi="ar-SA"/>
    </w:rPr>
  </w:style>
  <w:style w:type="paragraph" w:styleId="5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/>
      <w:u w:val="single"/>
    </w:rPr>
  </w:style>
  <w:style w:type="character" w:customStyle="1" w:styleId="14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6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7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 w:cs="Times New Roman"/>
      <w:b w:val="0"/>
      <w:bCs w:val="0"/>
      <w:color w:val="2F5496"/>
      <w:kern w:val="0"/>
      <w:sz w:val="32"/>
      <w:szCs w:val="32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  <w:snapToGrid w:val="0"/>
      <w:spacing w:line="240" w:lineRule="atLeast"/>
    </w:pPr>
    <w:rPr>
      <w:rFonts w:ascii="Times New Roman" w:hAnsi="Times New Roman" w:eastAsia="宋体" w:cs="宋体"/>
      <w:color w:val="000000"/>
      <w:kern w:val="0"/>
      <w:sz w:val="18"/>
      <w:szCs w:val="24"/>
      <w:lang w:val="en-US" w:eastAsia="zh-CN" w:bidi="ar-SA"/>
    </w:rPr>
  </w:style>
  <w:style w:type="paragraph" w:customStyle="1" w:styleId="22">
    <w:name w:val="表格左对齐"/>
    <w:qFormat/>
    <w:uiPriority w:val="0"/>
    <w:pPr>
      <w:spacing w:before="60" w:after="60" w:line="300" w:lineRule="auto"/>
      <w:jc w:val="both"/>
    </w:pPr>
    <w:rPr>
      <w:rFonts w:ascii="Times New Roman" w:hAnsi="Times New Roman" w:eastAsia="仿宋" w:cs="Times New Roman"/>
      <w:kern w:val="0"/>
      <w:sz w:val="24"/>
      <w:szCs w:val="24"/>
      <w:lang w:val="en-US" w:eastAsia="zh-CN" w:bidi="ar-SA"/>
    </w:rPr>
  </w:style>
  <w:style w:type="paragraph" w:customStyle="1" w:styleId="23">
    <w:name w:val="Table Paragraph"/>
    <w:basedOn w:val="1"/>
    <w:qFormat/>
    <w:uiPriority w:val="1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emf"/><Relationship Id="rId12" Type="http://schemas.openxmlformats.org/officeDocument/2006/relationships/oleObject" Target="embeddings/oleObject2.bin"/><Relationship Id="rId11" Type="http://schemas.openxmlformats.org/officeDocument/2006/relationships/image" Target="media/image3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lemon</Company>
  <Pages>16</Pages>
  <Words>2830</Words>
  <Characters>3448</Characters>
  <Lines>50</Lines>
  <Paragraphs>14</Paragraphs>
  <TotalTime>61</TotalTime>
  <ScaleCrop>false</ScaleCrop>
  <LinksUpToDate>false</LinksUpToDate>
  <CharactersWithSpaces>3558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2021-07-13T09:15:00Z</dcterms:created>
  <dc:creator>Lu Jinli</dc:creator>
  <cp:lastModifiedBy>风萧</cp:lastModifiedBy>
  <cp:lastPrinted>2021-08-04T07:29:00Z</cp:lastPrinted>
  <dcterms:modified xsi:type="dcterms:W3CDTF">2025-05-30T02:40:40Z</dcterms:modified>
  <cp:revision>312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C25A9759E60C4E7B8E193A7427D40A0A_13</vt:lpwstr>
  </property>
  <property fmtid="{D5CDD505-2E9C-101B-9397-08002B2CF9AE}" pid="4" name="KSOTemplateDocerSaveRecord">
    <vt:lpwstr>eyJoZGlkIjoiZjMxN2I2NWJjZTFhOWIwNjI0M2ExNDJlZWUxNWY5ZDgiLCJ1c2VySWQiOiIyMzY0MDM4OTgifQ==</vt:lpwstr>
  </property>
</Properties>
</file>